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B" w:rsidRPr="00AB731B" w:rsidRDefault="00AB731B" w:rsidP="00AB7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1B">
        <w:rPr>
          <w:rFonts w:ascii="Times New Roman" w:hAnsi="Times New Roman" w:cs="Times New Roman"/>
          <w:b/>
          <w:sz w:val="28"/>
          <w:szCs w:val="28"/>
        </w:rPr>
        <w:t>Банк России вводит ограничения на эквайринговые комиссии</w:t>
      </w:r>
    </w:p>
    <w:p w:rsidR="00AB731B" w:rsidRPr="00AB731B" w:rsidRDefault="00AB731B" w:rsidP="00AB7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1B">
        <w:rPr>
          <w:rFonts w:ascii="Times New Roman" w:hAnsi="Times New Roman" w:cs="Times New Roman"/>
          <w:sz w:val="28"/>
          <w:szCs w:val="28"/>
        </w:rPr>
        <w:t xml:space="preserve">С 18.04 будет снижен % по </w:t>
      </w:r>
      <w:proofErr w:type="gramStart"/>
      <w:r w:rsidRPr="00AB731B">
        <w:rPr>
          <w:rFonts w:ascii="Times New Roman" w:hAnsi="Times New Roman" w:cs="Times New Roman"/>
          <w:sz w:val="28"/>
          <w:szCs w:val="28"/>
        </w:rPr>
        <w:t>торговому</w:t>
      </w:r>
      <w:proofErr w:type="gramEnd"/>
      <w:r w:rsidRPr="00AB731B">
        <w:rPr>
          <w:rFonts w:ascii="Times New Roman" w:hAnsi="Times New Roman" w:cs="Times New Roman"/>
          <w:sz w:val="28"/>
          <w:szCs w:val="28"/>
        </w:rPr>
        <w:t xml:space="preserve"> эквайрингу.</w:t>
      </w:r>
    </w:p>
    <w:p w:rsidR="00AB731B" w:rsidRPr="00AB731B" w:rsidRDefault="00AB731B" w:rsidP="00AB7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1B">
        <w:rPr>
          <w:rFonts w:ascii="Times New Roman" w:hAnsi="Times New Roman" w:cs="Times New Roman"/>
          <w:sz w:val="28"/>
          <w:szCs w:val="28"/>
        </w:rPr>
        <w:t xml:space="preserve">Максимальное значение эквайринговых комиссий на период </w:t>
      </w:r>
      <w:r w:rsidRPr="00AB731B">
        <w:rPr>
          <w:rFonts w:ascii="Times New Roman" w:hAnsi="Times New Roman" w:cs="Times New Roman"/>
          <w:b/>
          <w:sz w:val="28"/>
          <w:szCs w:val="28"/>
        </w:rPr>
        <w:t>с 18 апреля</w:t>
      </w:r>
      <w:r w:rsidR="006D4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31B">
        <w:rPr>
          <w:rFonts w:ascii="Times New Roman" w:hAnsi="Times New Roman" w:cs="Times New Roman"/>
          <w:b/>
          <w:sz w:val="28"/>
          <w:szCs w:val="28"/>
        </w:rPr>
        <w:t>по 31 августа</w:t>
      </w:r>
      <w:r w:rsidR="006D4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31B">
        <w:rPr>
          <w:rFonts w:ascii="Times New Roman" w:hAnsi="Times New Roman" w:cs="Times New Roman"/>
          <w:b/>
          <w:sz w:val="28"/>
          <w:szCs w:val="28"/>
        </w:rPr>
        <w:t>2022 года</w:t>
      </w:r>
      <w:r w:rsidRPr="00AB731B">
        <w:rPr>
          <w:rFonts w:ascii="Times New Roman" w:hAnsi="Times New Roman" w:cs="Times New Roman"/>
          <w:sz w:val="28"/>
          <w:szCs w:val="28"/>
        </w:rPr>
        <w:t xml:space="preserve"> установлено на уровне 1% для компаний, которые продают социально значимые товары или предоставляют такие услуги.</w:t>
      </w:r>
    </w:p>
    <w:p w:rsidR="00AB731B" w:rsidRDefault="00AB731B" w:rsidP="00AB7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1B">
        <w:rPr>
          <w:rFonts w:ascii="Times New Roman" w:hAnsi="Times New Roman" w:cs="Times New Roman"/>
          <w:sz w:val="28"/>
          <w:szCs w:val="28"/>
        </w:rPr>
        <w:t>К ним относятся торговые предприятия, которые занимаются розничной продажей продуктов питания и еды, потребительских товаров и товаров повседневного спроса, топлива, медицинских изделий и лекарственных препаратов. Кроме того, в список вошли компании, оказывающие услуги связи, жилищно-коммунального хозяйства, медицины, образования, культуры, туризма, а также в сфере перевозки пассажиров.</w:t>
      </w:r>
    </w:p>
    <w:p w:rsidR="00AB731B" w:rsidRDefault="00AB731B" w:rsidP="00AB7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1B">
        <w:rPr>
          <w:rFonts w:ascii="Times New Roman" w:hAnsi="Times New Roman" w:cs="Times New Roman"/>
          <w:sz w:val="28"/>
          <w:szCs w:val="28"/>
        </w:rPr>
        <w:t>Эта мера вводится на ограниченный период, чтобы в текущих экономических условиях дать возможность бизнесу за счет снижения издержек перестроить свою логистику и процессы. Граждане в свою очередь продолжат пользоваться привычным инструментом безналичной оплаты.</w:t>
      </w:r>
    </w:p>
    <w:p w:rsidR="00DF6699" w:rsidRPr="00AB731B" w:rsidRDefault="00AB731B" w:rsidP="00AB7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1B">
        <w:rPr>
          <w:rFonts w:ascii="Times New Roman" w:hAnsi="Times New Roman" w:cs="Times New Roman"/>
          <w:sz w:val="28"/>
          <w:szCs w:val="28"/>
        </w:rPr>
        <w:t>Сейчас эквайринговые комиссии находятся в среднем на уровне 1,2–2,2% в зависимости от типа карты или вида деятельности предприятия.</w:t>
      </w:r>
    </w:p>
    <w:sectPr w:rsidR="00DF6699" w:rsidRPr="00AB731B" w:rsidSect="00DF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1B"/>
    <w:rsid w:val="001107A4"/>
    <w:rsid w:val="006D45A3"/>
    <w:rsid w:val="0092169F"/>
    <w:rsid w:val="00AB731B"/>
    <w:rsid w:val="00D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2022-04-13T04:54:00Z</dcterms:created>
  <dcterms:modified xsi:type="dcterms:W3CDTF">2022-04-13T04:57:00Z</dcterms:modified>
</cp:coreProperties>
</file>