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0BE" w:rsidRDefault="003D201F">
      <w:pPr>
        <w:spacing w:after="0" w:line="240" w:lineRule="auto"/>
        <w:jc w:val="center"/>
        <w:rPr>
          <w:rFonts w:ascii="Times New Roman" w:hAnsi="Times New Roman"/>
          <w:b/>
          <w:sz w:val="24"/>
          <w:szCs w:val="24"/>
        </w:rPr>
      </w:pPr>
      <w:bookmarkStart w:id="0" w:name="_GoBack"/>
      <w:bookmarkEnd w:id="0"/>
      <w:r>
        <w:rPr>
          <w:rFonts w:ascii="Times New Roman" w:hAnsi="Times New Roman"/>
          <w:b/>
          <w:sz w:val="24"/>
          <w:szCs w:val="24"/>
        </w:rPr>
        <w:t>Аналитическая записка</w:t>
      </w:r>
    </w:p>
    <w:p w:rsidR="000C50BE" w:rsidRDefault="003D201F">
      <w:pPr>
        <w:spacing w:after="0" w:line="240" w:lineRule="auto"/>
        <w:jc w:val="center"/>
        <w:rPr>
          <w:rFonts w:ascii="Times New Roman" w:hAnsi="Times New Roman"/>
          <w:b/>
          <w:sz w:val="24"/>
          <w:szCs w:val="24"/>
        </w:rPr>
      </w:pPr>
      <w:r>
        <w:rPr>
          <w:rFonts w:ascii="Times New Roman" w:hAnsi="Times New Roman"/>
          <w:b/>
          <w:sz w:val="24"/>
          <w:szCs w:val="24"/>
        </w:rPr>
        <w:t xml:space="preserve">к мониторингу социально-экономического развития муниципального образования «Майминский район» </w:t>
      </w:r>
      <w:r>
        <w:rPr>
          <w:rFonts w:ascii="Times New Roman" w:hAnsi="Times New Roman"/>
          <w:b/>
          <w:sz w:val="24"/>
          <w:szCs w:val="24"/>
        </w:rPr>
        <w:br/>
        <w:t>на 01.01.2022 г.</w:t>
      </w:r>
    </w:p>
    <w:p w:rsidR="000C50BE" w:rsidRDefault="000C50BE">
      <w:pPr>
        <w:spacing w:after="0" w:line="240" w:lineRule="auto"/>
        <w:ind w:firstLine="709"/>
        <w:rPr>
          <w:rFonts w:ascii="Times New Roman" w:hAnsi="Times New Roman"/>
          <w:b/>
          <w:sz w:val="24"/>
          <w:szCs w:val="24"/>
        </w:rPr>
      </w:pPr>
    </w:p>
    <w:p w:rsidR="000C50BE" w:rsidRDefault="003D201F">
      <w:pPr>
        <w:spacing w:after="0" w:line="240" w:lineRule="auto"/>
        <w:ind w:firstLine="709"/>
        <w:jc w:val="center"/>
        <w:rPr>
          <w:rFonts w:ascii="Times New Roman" w:hAnsi="Times New Roman"/>
          <w:sz w:val="24"/>
          <w:szCs w:val="24"/>
        </w:rPr>
      </w:pPr>
      <w:r>
        <w:rPr>
          <w:rFonts w:ascii="Times New Roman" w:hAnsi="Times New Roman"/>
          <w:b/>
          <w:sz w:val="24"/>
          <w:szCs w:val="24"/>
        </w:rPr>
        <w:t>Общие показатели</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МО «Майминский район» расположено в горно-степной зоне западной части Республики Алтай. Площадь территории муниципального образования составляет 1 284 км² (1,4 % от площади республики).</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 xml:space="preserve">В состав входят 6 сельских поселений, 25 населенных пункта. Административный центр – с. Майма находится на расстоянии 9 км от республиканского центра г. Горно-Алтайска. </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Оценка численности постоянного населения муниципального образования на 01.01.2022 г. составила 34 647 чел. Плотность населения муниципального образования – 27,0 чел. на 1 км</w:t>
      </w:r>
      <w:r>
        <w:rPr>
          <w:rFonts w:ascii="Times New Roman" w:eastAsia="Times New Roman" w:hAnsi="Times New Roman"/>
          <w:color w:val="000000"/>
          <w:sz w:val="20"/>
          <w:vertAlign w:val="superscript"/>
        </w:rPr>
        <w:t>2</w:t>
      </w:r>
      <w:r>
        <w:rPr>
          <w:rFonts w:ascii="Times New Roman" w:eastAsia="Times New Roman" w:hAnsi="Times New Roman"/>
          <w:color w:val="000000"/>
          <w:sz w:val="24"/>
        </w:rPr>
        <w:t xml:space="preserve">. Среднегодовая численность населения муниципального образования на 01.01.2022 г. составила 34 514 чел. </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Мониторинг социально-экономического развития МО «Майминский район» осуществляется в рамках Плана мероприятий («дорожной карты») по перспективному развитию экономики и росту собственных доходов консолидированного бюджета муниципального образования, утвержденного распоряжением Администрации МО «Майминский район» от 08.07.2016 г. № 415-р.</w:t>
      </w:r>
    </w:p>
    <w:p w:rsidR="000C50BE" w:rsidRDefault="000C50BE">
      <w:pPr>
        <w:spacing w:after="0" w:line="240" w:lineRule="auto"/>
        <w:ind w:firstLine="709"/>
        <w:jc w:val="both"/>
        <w:rPr>
          <w:rFonts w:ascii="Times New Roman" w:hAnsi="Times New Roman"/>
          <w:sz w:val="24"/>
          <w:szCs w:val="24"/>
        </w:rPr>
      </w:pPr>
    </w:p>
    <w:p w:rsidR="000C50BE" w:rsidRDefault="000C50BE">
      <w:pPr>
        <w:spacing w:after="0" w:line="240" w:lineRule="auto"/>
        <w:ind w:firstLine="709"/>
        <w:jc w:val="both"/>
        <w:rPr>
          <w:rFonts w:ascii="Times New Roman" w:hAnsi="Times New Roman"/>
          <w:sz w:val="24"/>
          <w:szCs w:val="24"/>
        </w:rPr>
      </w:pPr>
    </w:p>
    <w:p w:rsidR="000C50BE" w:rsidRDefault="003D201F">
      <w:pPr>
        <w:spacing w:after="0" w:line="240" w:lineRule="auto"/>
        <w:ind w:firstLine="709"/>
        <w:jc w:val="center"/>
      </w:pPr>
      <w:r>
        <w:rPr>
          <w:rFonts w:ascii="Times New Roman" w:eastAsia="Times New Roman" w:hAnsi="Times New Roman"/>
          <w:b/>
          <w:sz w:val="24"/>
          <w:szCs w:val="24"/>
          <w:lang w:eastAsia="ar-SA"/>
        </w:rPr>
        <w:t xml:space="preserve">Раздел </w:t>
      </w:r>
      <w:r>
        <w:rPr>
          <w:rFonts w:ascii="Times New Roman" w:eastAsia="Times New Roman" w:hAnsi="Times New Roman"/>
          <w:b/>
          <w:sz w:val="24"/>
          <w:szCs w:val="24"/>
          <w:lang w:val="en-US" w:eastAsia="ar-SA"/>
        </w:rPr>
        <w:t>I</w:t>
      </w:r>
      <w:r>
        <w:rPr>
          <w:rFonts w:ascii="Times New Roman" w:eastAsia="Times New Roman" w:hAnsi="Times New Roman"/>
          <w:b/>
          <w:sz w:val="24"/>
          <w:szCs w:val="24"/>
          <w:lang w:eastAsia="ar-SA"/>
        </w:rPr>
        <w:t>. Собственные доходы</w:t>
      </w:r>
    </w:p>
    <w:p w:rsidR="000C50BE" w:rsidRDefault="000C50BE">
      <w:pPr>
        <w:spacing w:after="0" w:line="240" w:lineRule="auto"/>
        <w:ind w:firstLine="709"/>
        <w:jc w:val="both"/>
        <w:rPr>
          <w:rFonts w:ascii="Times New Roman" w:eastAsia="Times New Roman" w:hAnsi="Times New Roman"/>
          <w:b/>
          <w:i/>
          <w:sz w:val="24"/>
          <w:szCs w:val="24"/>
          <w:lang w:eastAsia="ar-SA"/>
        </w:rPr>
      </w:pPr>
    </w:p>
    <w:p w:rsidR="000C50BE" w:rsidRDefault="003D201F">
      <w:pPr>
        <w:spacing w:after="0" w:line="240" w:lineRule="auto"/>
        <w:ind w:firstLine="709"/>
        <w:jc w:val="both"/>
        <w:rPr>
          <w:rFonts w:ascii="Times New Roman" w:eastAsia="Times New Roman" w:hAnsi="Times New Roman"/>
          <w:b/>
          <w:i/>
          <w:sz w:val="24"/>
          <w:szCs w:val="24"/>
          <w:lang w:eastAsia="ar-SA"/>
        </w:rPr>
      </w:pPr>
      <w:r>
        <w:rPr>
          <w:rFonts w:ascii="Times New Roman" w:eastAsia="Times New Roman" w:hAnsi="Times New Roman"/>
          <w:b/>
          <w:sz w:val="24"/>
          <w:szCs w:val="24"/>
          <w:lang w:eastAsia="ar-SA"/>
        </w:rPr>
        <w:t xml:space="preserve">1.1. </w:t>
      </w:r>
      <w:r>
        <w:rPr>
          <w:rFonts w:ascii="Times New Roman" w:eastAsia="Times New Roman" w:hAnsi="Times New Roman"/>
          <w:b/>
          <w:i/>
          <w:sz w:val="24"/>
          <w:szCs w:val="24"/>
          <w:lang w:eastAsia="ar-SA"/>
        </w:rPr>
        <w:t>Темп роста налоговых доходов консолидированного бюджета муниципального образования (без учета доходов от уплаты акцизов на автомобильный и прямогонный бензин, дизельных и (или) карбюраторных (инжекторных) двигателей, производимых на территории Российской Федерации)</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Фактическое поступление налоговых доходов консолидированного бюджета МО «Майминский район» (без учета доходов от уплаты акцизов на автомобильный и прямогонный бензин, дизельных и (или) карбюраторных (инжекторных) двигателей, производимых на территории Российской Федерации) на 01.01.2022 г. составило 507,5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В сравнении с планом на 01.01.2022 г. отмечено отклонение от целевого значения показателя на + 14,6 процентных пунктов.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highlight w:val="white"/>
        </w:rPr>
      </w:pPr>
      <w:r>
        <w:rPr>
          <w:rFonts w:ascii="Times New Roman" w:eastAsia="Times New Roman" w:hAnsi="Times New Roman"/>
          <w:color w:val="000000"/>
          <w:sz w:val="24"/>
        </w:rPr>
        <w:t xml:space="preserve">Причина выполнения планового значения связана с увеличением поступлений от </w:t>
      </w:r>
      <w:r>
        <w:rPr>
          <w:rFonts w:ascii="Times New Roman" w:eastAsia="Times New Roman" w:hAnsi="Times New Roman"/>
          <w:color w:val="000000"/>
          <w:sz w:val="24"/>
          <w:highlight w:val="white"/>
        </w:rPr>
        <w:t>(НДФЛ, УСН, ПСН, НИФЛ, НИО, НДПИ).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highlight w:val="white"/>
        </w:rPr>
      </w:pPr>
      <w:r>
        <w:rPr>
          <w:rFonts w:ascii="Times New Roman" w:eastAsia="Times New Roman" w:hAnsi="Times New Roman"/>
          <w:color w:val="000000"/>
          <w:sz w:val="24"/>
        </w:rPr>
        <w:t xml:space="preserve">В сравнении с 01.01.2021 г. отмечен рост поступлений налоговых доходов (без учета акцизов) консолидированного бюджета муниципального образования на </w:t>
      </w:r>
      <w:r>
        <w:rPr>
          <w:rFonts w:ascii="Times New Roman" w:eastAsia="Times New Roman" w:hAnsi="Times New Roman"/>
          <w:color w:val="000000"/>
          <w:sz w:val="24"/>
          <w:highlight w:val="white"/>
        </w:rPr>
        <w:t>98,3 млн. руб., темп роста составил 124,0 %.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highlight w:val="white"/>
        </w:rPr>
      </w:pPr>
      <w:r>
        <w:rPr>
          <w:rFonts w:ascii="Times New Roman" w:eastAsia="Times New Roman" w:hAnsi="Times New Roman"/>
          <w:color w:val="000000"/>
          <w:sz w:val="24"/>
        </w:rPr>
        <w:t>Причина роста поступлений связана с увеличением поступлений от</w:t>
      </w:r>
      <w:r>
        <w:rPr>
          <w:rFonts w:ascii="Times New Roman" w:eastAsia="Times New Roman" w:hAnsi="Times New Roman"/>
          <w:color w:val="000000"/>
          <w:sz w:val="24"/>
          <w:highlight w:val="white"/>
        </w:rPr>
        <w:t xml:space="preserve"> (НДФЛ, УСН, ПСН, НИФЛ, НИО, НДПИ). </w:t>
      </w:r>
      <w:r>
        <w:rPr>
          <w:rFonts w:ascii="Times New Roman" w:eastAsia="Times New Roman" w:hAnsi="Times New Roman"/>
          <w:color w:val="FF0000"/>
          <w:sz w:val="24"/>
          <w:highlight w:val="white"/>
        </w:rPr>
        <w:t xml:space="preserve">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Исполнение доходной части бюджета муниципального образования «Майминский район» в части налоговых поступлений по отдельным доходным источникам: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b/>
          <w:color w:val="000000"/>
          <w:sz w:val="24"/>
        </w:rPr>
        <w:t>НДФЛ</w:t>
      </w:r>
      <w:r>
        <w:rPr>
          <w:rFonts w:ascii="Times New Roman" w:eastAsia="Times New Roman" w:hAnsi="Times New Roman"/>
          <w:color w:val="000000"/>
          <w:sz w:val="24"/>
        </w:rPr>
        <w:t>: факт на 01.01.2022 г. - 273,8 млн. руб. По отношению к 01.01.2021 г. отмечен рост на 29,6% или на 60,9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Причины роста поступлений НДФЛ: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1) Основной причиной увеличения поступлений является повышение с 01 января 2020 года МРОТ и индексация заработной платы работников государственных, муниципальных учреждений.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lastRenderedPageBreak/>
        <w:t>В основном поступление НДФЛ обеспечено за счет бюджетной сферы, здравоохранения, образования (БУЗ РА«Майминская РБ», КУЗ РА «Дом ребенка», АУ РА «АВИАЛЕСООХРАНА»), плательщики: ООО «Амтек», ООО ВК «Манжерок», ООО «Алтай Резорт».</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b/>
          <w:color w:val="000000"/>
          <w:sz w:val="24"/>
        </w:rPr>
        <w:t>УСН</w:t>
      </w:r>
      <w:r>
        <w:rPr>
          <w:rFonts w:ascii="Times New Roman" w:eastAsia="Times New Roman" w:hAnsi="Times New Roman"/>
          <w:color w:val="000000"/>
          <w:sz w:val="24"/>
        </w:rPr>
        <w:t>: факт на 01.01.2022 г. – 123,0 млн. руб. По отношению к 01.01.2021 г. отмечен рост на 27,4 % или на 26,4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Причины роста поступлений УСН: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1) постановка на налоговый учет таких налогоплательщиков как: ИП Колотилин Д.Д., ИП Авоян А.Г., ИП Кашлев И.С.</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2) рост полученных доходов у налогоплательщиков: ООО «Проспект», ООО «Алтай Опт», ООО «Исток», ООО «Майма Холод», ООО «Царская охота» (+ 6,7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3) в связи с отменой ЕНВД плательщики перешли на другие режимы налогообложения (УСН)</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 </w:t>
      </w:r>
      <w:r>
        <w:rPr>
          <w:rFonts w:ascii="Times New Roman" w:eastAsia="Times New Roman" w:hAnsi="Times New Roman"/>
          <w:b/>
          <w:color w:val="000000"/>
          <w:sz w:val="24"/>
        </w:rPr>
        <w:t>ПСН</w:t>
      </w:r>
      <w:r>
        <w:rPr>
          <w:rFonts w:ascii="Times New Roman" w:eastAsia="Times New Roman" w:hAnsi="Times New Roman"/>
          <w:color w:val="000000"/>
          <w:sz w:val="24"/>
        </w:rPr>
        <w:t>: факт на 01.01.2022 г. – 4,2 млн. руб. По отношению к 01.01.2021 г. Отмечен рост на 410,0 % или на 4,1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 xml:space="preserve">1) рост количества индивидуальных предпринимателей, применяющих патентную систему налогообложения: ИП Сорина, ИП Балакина О.М., ИП Потапова О.С., ИП Вишнякова М.А., ИП Федоров А.С. (+ 0,8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 </w:t>
      </w:r>
      <w:r>
        <w:rPr>
          <w:rFonts w:ascii="Times New Roman" w:eastAsia="Times New Roman" w:hAnsi="Times New Roman"/>
          <w:b/>
          <w:color w:val="000000"/>
          <w:sz w:val="24"/>
        </w:rPr>
        <w:t>НИФЛ</w:t>
      </w:r>
      <w:r>
        <w:rPr>
          <w:rFonts w:ascii="Times New Roman" w:eastAsia="Times New Roman" w:hAnsi="Times New Roman"/>
          <w:color w:val="000000"/>
          <w:sz w:val="24"/>
        </w:rPr>
        <w:t>: факт на 01.01.2022 г. - 12,2 млн. руб. По отношению к 01.01.2021 г. Отмечено снижение на 3,2 % или на 8,3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Причины снижения поступлений НИФЛ: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1) Исходя из данных статистической налоговой отчетности №5-МН, произошло увеличение количества налогоплательщиков, которым исчислен налог к уплате на 19,6% или на 1620 единиц, но размер суммы, исчисленной от кадастровой стоимости строений, помещений и сооружений, по которым предъявлен налог к оплате снизился на 1,2% или на 158,0 тыс. рублей, что повлияло на снижение поступлений в бюджет в 2021 году. Наибольшая сумма снижений наблюдается у Тогулековой Г.Д., Булудян А.Х., Золотухина А.В.</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b/>
          <w:color w:val="000000"/>
          <w:sz w:val="24"/>
        </w:rPr>
        <w:t>НИО</w:t>
      </w:r>
      <w:r>
        <w:rPr>
          <w:rFonts w:ascii="Times New Roman" w:eastAsia="Times New Roman" w:hAnsi="Times New Roman"/>
          <w:color w:val="000000"/>
          <w:sz w:val="24"/>
        </w:rPr>
        <w:t>: факт на 01.01.2022 г. – 52,8 млн. руб. По отношению к 01.01.2021 г. Отмечен рост на 18,6 % или на 2,8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Причины роста поступлений НИО:</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1) Увеличение поступлений по налогу по сравнению с прошлым годом объясняется:</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 ростом налогооблагаемой базы у АО «Газпром газораспределение» в связи с вводом новых объектов недвижимости (+5.3 млн. руб.);</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 поступлением от ООО «Биотехнологии» по решению о взыскании на основании ст.46 НК РФ, в прошлом году поступлений не было (+4,2 млн. руб.);</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2) организаций культуры и искусства, образования, физической культуры и спорта, здравоохранения, социального обеспечения, финансовое обеспечение деятельности которых полностью или частично осуществляется за счет средств республиканского бюджета Республики Алтай и (или) местных бюджетов (ранее была в размере 0,2 процента от налоговой базы) БУЗ РА «Майминская РБ» (+0,8 млн. руб.), АУ РА «Спортивно-оздоровительный комплекс «Атлант» (+3,3 млн. руб.), КУ РА «Управление имуществом казны Республики Алтай» (+0,6 млн. руб.).</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b/>
          <w:color w:val="000000"/>
          <w:sz w:val="24"/>
        </w:rPr>
        <w:t>НДПИ</w:t>
      </w:r>
      <w:r>
        <w:rPr>
          <w:rFonts w:ascii="Times New Roman" w:eastAsia="Times New Roman" w:hAnsi="Times New Roman"/>
          <w:color w:val="000000"/>
          <w:sz w:val="24"/>
        </w:rPr>
        <w:t>: факт на 01.01.2022 г. – 5,4 млн. руб. По отношению к 01.01.2021 г. отмечен рост на 41,1 % или на 1,6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Причины роста поступлений НДПИ: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1) увеличение добычи полезных ископаемых такими плательщикам как: АО «Горно-Алтайские каменные карьеры», АО «Дорожник», ООО «Рокс», Мещеряков В.Н  сумма составила 1,5 млн. руб.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 Мероприятия, проведенные органами местного самоуправления в целях увеличения поступления налоговых доходов (без учета акцизов):</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lastRenderedPageBreak/>
        <w:t>1) за отчетный период 2021 г. Администрацией МО «Майминский район» организованно 4 заседания финансово-экономической комиссии по сокращению задолженности и увеличению доходов в бюджет. На заседание было приглашено 14 должников по платежам и взносам в бюджетную систему РФ, задолженность которых составила 8,5 млн. руб., в результате работы комиссии погашена задолженность в сумме 1,2 млн. руб., что составляет 1,4 % задолженности приглашенных на ФЭК.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2) Управлением финансов ежемесячно рассылаются по главным распорядителям сведения о задолженности по налогам и страховым взносам бюджетных учреждений и администраций СП, предоставляемые УФНС России по Республике Алтай, организована работа по мониторингу и ликвидации данной задолженности. </w:t>
      </w:r>
    </w:p>
    <w:p w:rsidR="000C50BE" w:rsidRDefault="003D201F">
      <w:pPr>
        <w:pBdr>
          <w:top w:val="none" w:sz="4" w:space="0" w:color="000000"/>
          <w:left w:val="none" w:sz="4" w:space="0" w:color="000000"/>
          <w:bottom w:val="none" w:sz="4" w:space="0" w:color="000000"/>
          <w:right w:val="none" w:sz="4" w:space="0" w:color="000000"/>
        </w:pBdr>
        <w:spacing w:after="0" w:line="283" w:lineRule="atLeast"/>
        <w:ind w:firstLine="540"/>
        <w:jc w:val="both"/>
        <w:rPr>
          <w:rFonts w:ascii="Times New Roman" w:eastAsia="Times New Roman" w:hAnsi="Times New Roman"/>
          <w:color w:val="000000"/>
          <w:sz w:val="24"/>
        </w:rPr>
      </w:pPr>
      <w:r>
        <w:rPr>
          <w:rFonts w:ascii="Times New Roman" w:eastAsia="Times New Roman" w:hAnsi="Times New Roman"/>
          <w:color w:val="000000"/>
          <w:sz w:val="24"/>
        </w:rPr>
        <w:t>3) Отделом экономики и инвестиций Администрации МО «Майминский район» на постоянной основе проводятся консультации информационного характера (в устном порядке, на сайте администрации, в СМИ) по вопросам лицензирования деятельности по продаже алкогольной продукции в розницу и на предприятиях общепита согласно ФЗ. </w:t>
      </w:r>
    </w:p>
    <w:p w:rsidR="000C50BE" w:rsidRDefault="000C50BE">
      <w:pPr>
        <w:spacing w:after="0" w:line="240" w:lineRule="auto"/>
        <w:ind w:firstLine="709"/>
        <w:jc w:val="both"/>
      </w:pPr>
    </w:p>
    <w:p w:rsidR="000C50BE" w:rsidRDefault="000C50BE">
      <w:pPr>
        <w:spacing w:after="0" w:line="240" w:lineRule="auto"/>
        <w:ind w:firstLine="709"/>
        <w:jc w:val="center"/>
        <w:rPr>
          <w:rFonts w:ascii="Times New Roman" w:eastAsia="Times New Roman" w:hAnsi="Times New Roman"/>
          <w:b/>
          <w:bCs/>
          <w:sz w:val="24"/>
          <w:szCs w:val="24"/>
          <w:lang w:eastAsia="ar-SA"/>
        </w:rPr>
      </w:pPr>
    </w:p>
    <w:p w:rsidR="000C50BE" w:rsidRDefault="003D201F">
      <w:pPr>
        <w:spacing w:after="0" w:line="240" w:lineRule="auto"/>
        <w:ind w:firstLine="709"/>
        <w:jc w:val="center"/>
        <w:rPr>
          <w:rFonts w:ascii="Times New Roman" w:hAnsi="Times New Roman"/>
          <w:sz w:val="24"/>
          <w:szCs w:val="24"/>
        </w:rPr>
      </w:pPr>
      <w:r>
        <w:rPr>
          <w:rFonts w:ascii="Times New Roman" w:hAnsi="Times New Roman"/>
          <w:b/>
          <w:bCs/>
          <w:sz w:val="24"/>
          <w:szCs w:val="24"/>
        </w:rPr>
        <w:t xml:space="preserve">Раздел </w:t>
      </w:r>
      <w:r>
        <w:rPr>
          <w:rFonts w:ascii="Times New Roman" w:hAnsi="Times New Roman"/>
          <w:b/>
          <w:bCs/>
          <w:sz w:val="24"/>
          <w:szCs w:val="24"/>
          <w:lang w:val="en-US"/>
        </w:rPr>
        <w:t>II</w:t>
      </w:r>
      <w:r>
        <w:rPr>
          <w:rFonts w:ascii="Times New Roman" w:hAnsi="Times New Roman"/>
          <w:b/>
          <w:bCs/>
          <w:sz w:val="24"/>
          <w:szCs w:val="24"/>
        </w:rPr>
        <w:t>. Реальный сектор экономики</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Основными бюджетообразующими отраслями реального сектора экономики МО «Майминский район» являются «электроэнергетика» (филиал ПАО «МРСК Сибири» Горно-Алтайские электрические сети»), «туризм» (ООО «ВК «Манжерок», ООО «Алтай - Резорт»), «пассажирская транспортировка» (ОАО «Аэропорт Горно-Алтайск»), «аграрная промышленность» (ООО «Биостимул», ООО «Нарине»).</w:t>
      </w:r>
    </w:p>
    <w:p w:rsidR="000C50BE" w:rsidRDefault="000C50BE">
      <w:pPr>
        <w:spacing w:after="0" w:line="240" w:lineRule="auto"/>
        <w:ind w:firstLine="709"/>
        <w:jc w:val="both"/>
      </w:pPr>
    </w:p>
    <w:p w:rsidR="000C50BE" w:rsidRDefault="003D201F">
      <w:pPr>
        <w:spacing w:after="0" w:line="240" w:lineRule="auto"/>
        <w:ind w:firstLine="709"/>
        <w:jc w:val="both"/>
        <w:rPr>
          <w:rFonts w:ascii="Times New Roman" w:eastAsia="Times New Roman" w:hAnsi="Times New Roman"/>
          <w:b/>
          <w:sz w:val="24"/>
          <w:szCs w:val="24"/>
          <w:lang w:eastAsia="ar-SA"/>
        </w:rPr>
      </w:pPr>
      <w:r>
        <w:rPr>
          <w:rFonts w:ascii="Times New Roman" w:hAnsi="Times New Roman"/>
          <w:b/>
          <w:sz w:val="24"/>
          <w:szCs w:val="24"/>
        </w:rPr>
        <w:t xml:space="preserve">2.1. </w:t>
      </w:r>
      <w:r>
        <w:rPr>
          <w:rFonts w:ascii="Times New Roman" w:eastAsia="Times New Roman" w:hAnsi="Times New Roman"/>
          <w:b/>
          <w:bCs/>
          <w:sz w:val="24"/>
          <w:szCs w:val="24"/>
          <w:lang w:eastAsia="ar-SA"/>
        </w:rPr>
        <w:t>Промышленное производство</w:t>
      </w:r>
    </w:p>
    <w:p w:rsidR="000C50BE" w:rsidRDefault="003D201F">
      <w:pPr>
        <w:spacing w:after="0" w:line="240" w:lineRule="auto"/>
        <w:ind w:firstLine="709"/>
        <w:jc w:val="both"/>
      </w:pPr>
      <w:r>
        <w:rPr>
          <w:rFonts w:ascii="Times New Roman" w:eastAsia="Times New Roman" w:hAnsi="Times New Roman"/>
          <w:sz w:val="24"/>
          <w:szCs w:val="24"/>
          <w:lang w:eastAsia="ar-SA"/>
        </w:rPr>
        <w:t xml:space="preserve">Количество предприятий и организаций по «чистым видам» экономической деятельности в сфере промышленности, действующих (отчитавшихся) по состоянию на 01.01.2022 г., по МО «Майминский район» составило 59 ед., что к аналогичному периоду прошлого года составило </w:t>
      </w:r>
      <w:r>
        <w:rPr>
          <w:rFonts w:ascii="Times New Roman" w:eastAsia="Times New Roman" w:hAnsi="Times New Roman"/>
          <w:i/>
          <w:sz w:val="24"/>
          <w:szCs w:val="24"/>
          <w:lang w:eastAsia="ar-SA"/>
        </w:rPr>
        <w:t>снижение</w:t>
      </w:r>
      <w:r>
        <w:rPr>
          <w:rFonts w:ascii="Times New Roman" w:eastAsia="Times New Roman" w:hAnsi="Times New Roman"/>
          <w:sz w:val="24"/>
          <w:szCs w:val="24"/>
          <w:lang w:eastAsia="ar-SA"/>
        </w:rPr>
        <w:t xml:space="preserve"> на 4 ед. (на 01.01.2021 г. – 63 ед.).</w:t>
      </w:r>
    </w:p>
    <w:p w:rsidR="000C50BE" w:rsidRDefault="003D201F">
      <w:pPr>
        <w:pStyle w:val="afd"/>
        <w:shd w:val="clear" w:color="auto" w:fill="FFFFFF"/>
        <w:spacing w:before="0" w:after="0"/>
        <w:ind w:firstLine="709"/>
        <w:jc w:val="both"/>
      </w:pPr>
      <w:r>
        <w:t>В сфере промышленного производства за 2021 год сводный индекс промышленного производства (далее – ИПП) составил 84,1 % (по Республике Алтай – 104,0 %), объем отгруженной промышленными предприятиями продукции – 1,2 млрд. рублей.</w:t>
      </w:r>
    </w:p>
    <w:p w:rsidR="000C50BE" w:rsidRDefault="003D201F">
      <w:pPr>
        <w:spacing w:after="0" w:line="240" w:lineRule="auto"/>
        <w:ind w:firstLine="709"/>
        <w:jc w:val="both"/>
        <w:rPr>
          <w:rFonts w:ascii="Times New Roman" w:hAnsi="Times New Roman"/>
          <w:sz w:val="24"/>
          <w:szCs w:val="24"/>
        </w:rPr>
      </w:pPr>
      <w:r>
        <w:rPr>
          <w:rFonts w:ascii="Times New Roman" w:hAnsi="Times New Roman"/>
          <w:sz w:val="24"/>
          <w:szCs w:val="24"/>
        </w:rPr>
        <w:t>В сравнении с планом на 01.01.2022 г. отмечено отклонение ИФО объема промышленного производства на (-) 13,33 процентных пункта.</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65" w:lineRule="atLeast"/>
        <w:ind w:firstLine="709"/>
        <w:jc w:val="both"/>
      </w:pPr>
      <w:r>
        <w:rPr>
          <w:rFonts w:ascii="Times New Roman" w:eastAsia="Times New Roman" w:hAnsi="Times New Roman"/>
          <w:color w:val="000000"/>
          <w:sz w:val="24"/>
        </w:rPr>
        <w:t>Наиболее весомым в промышленном производстве является добыча полезных ископаемых и обрабатывающая отрасль. Отраслевые организации-производители: «УФСИН России по Республике Алтай», ООО ТД «Майма-Молоко», ООО «Биостимул», ООО ТД «МЗЖБИ», ООО «АвеларСоларТехнолоджи».</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ИПП раздела В «Добыча полезных ископаемых» за 2021 г. составил 175,8 % (по Республике Алтай – 94,9 %), увеличение обусловлено устройством выравнивающих слоев для последующей укладки асфальтобетона автодороги Урлу-Аспак-Каракол (увеличение объемов отгрузки смесей песчанно-гравийных АО «Горно-Алтайские каменные карьеры»).</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 ИПП раздела С «Обрабатывающие производства» за 2021 г. составил 68,8 % (по Республике Алтай – 104,5 %), снижение связано с закрытием филиала Соузгинский ООО «Сибирская компания».</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ИПП раздела D «Обеспечение электрической энергией, газом и паром; кондиционирование воздуха» за 2021 г. составил 144,8 % (по Республике Алтай – 104,6 %), что обусловлеувеличение производства электроэнергии ООО «АвеларСоларТехнолоджи».</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 xml:space="preserve">Вывод: на снижение объема промышленного производства повлияло снижение объемов производства обрабатывающей промышленности.  </w:t>
      </w:r>
    </w:p>
    <w:p w:rsidR="000C50BE" w:rsidRDefault="003D201F">
      <w:pPr>
        <w:spacing w:after="0" w:line="240" w:lineRule="auto"/>
        <w:ind w:firstLine="709"/>
        <w:contextualSpacing/>
        <w:jc w:val="both"/>
      </w:pPr>
      <w:r>
        <w:rPr>
          <w:rFonts w:ascii="Times New Roman" w:eastAsia="Times New Roman" w:hAnsi="Times New Roman"/>
          <w:color w:val="000000"/>
          <w:sz w:val="24"/>
        </w:rPr>
        <w:t xml:space="preserve">Для увеличения Иобъема производства промышленной продукции проводится работа по участию района в национальных проектах («Демография» -строительство детских садов и школ, «Безопасные и качественные автомобильные дороги» - ремонт и </w:t>
      </w:r>
      <w:r>
        <w:rPr>
          <w:rFonts w:ascii="Times New Roman" w:eastAsia="Times New Roman" w:hAnsi="Times New Roman"/>
          <w:color w:val="000000"/>
          <w:sz w:val="24"/>
        </w:rPr>
        <w:lastRenderedPageBreak/>
        <w:t>реконструкция дорог местного значения на территории сельских поселений), совместно с министерствами Республики Алтай на уровне рабочей группы по мониторингу системообразующих предприятий реального сектора экономики Республики Алтай, прорабатываются мероприятия по их поддержке для увеличения объемов отгрузки собственной продукции.</w:t>
      </w:r>
    </w:p>
    <w:p w:rsidR="000C50BE" w:rsidRDefault="000C50BE">
      <w:pPr>
        <w:spacing w:after="0" w:line="240" w:lineRule="auto"/>
        <w:ind w:firstLine="709"/>
        <w:jc w:val="both"/>
      </w:pPr>
    </w:p>
    <w:p w:rsidR="000C50BE" w:rsidRDefault="003D201F">
      <w:pPr>
        <w:spacing w:after="0" w:line="240" w:lineRule="auto"/>
        <w:ind w:firstLine="709"/>
        <w:jc w:val="both"/>
        <w:rPr>
          <w:rFonts w:ascii="Times New Roman" w:eastAsia="Times New Roman" w:hAnsi="Times New Roman"/>
          <w:b/>
          <w:sz w:val="24"/>
          <w:szCs w:val="24"/>
          <w:lang w:eastAsia="ar-SA"/>
        </w:rPr>
      </w:pPr>
      <w:r>
        <w:rPr>
          <w:rFonts w:ascii="Times New Roman" w:eastAsia="Times New Roman" w:hAnsi="Times New Roman"/>
          <w:b/>
          <w:bCs/>
          <w:sz w:val="24"/>
          <w:szCs w:val="24"/>
          <w:lang w:eastAsia="ar-SA"/>
        </w:rPr>
        <w:t>2.2. Малое и среднее предпринимательство</w:t>
      </w:r>
    </w:p>
    <w:p w:rsidR="000C50BE" w:rsidRDefault="003D201F">
      <w:pPr>
        <w:shd w:val="clear" w:color="auto" w:fill="FFFFFF"/>
        <w:spacing w:after="0" w:line="240" w:lineRule="auto"/>
        <w:ind w:firstLine="709"/>
        <w:contextualSpacing/>
        <w:jc w:val="both"/>
      </w:pPr>
      <w:r>
        <w:rPr>
          <w:rFonts w:ascii="Times New Roman" w:hAnsi="Times New Roman"/>
          <w:sz w:val="24"/>
          <w:szCs w:val="24"/>
        </w:rPr>
        <w:t xml:space="preserve">По данным Единого реестра субъектов малого и среднего предпринимательства по состоянию на 10.01.2022 г. на территории МО «Майминский район» зарегистрировано 1360 субъектов малого и среднего предпринимательства, из которых малые предприятия составили 43 ед., микропредприятия – 1314 ед., средние предприятия – 4 ед. </w:t>
      </w:r>
    </w:p>
    <w:p w:rsidR="000C50BE" w:rsidRDefault="003D201F">
      <w:pPr>
        <w:shd w:val="clear" w:color="auto" w:fill="FFFFFF"/>
        <w:spacing w:after="0" w:line="240" w:lineRule="auto"/>
        <w:ind w:firstLine="709"/>
        <w:contextualSpacing/>
        <w:jc w:val="both"/>
      </w:pPr>
      <w:r>
        <w:rPr>
          <w:rFonts w:ascii="Times New Roman" w:hAnsi="Times New Roman"/>
          <w:sz w:val="24"/>
          <w:szCs w:val="24"/>
        </w:rPr>
        <w:t xml:space="preserve">По данным Управления Федеральной налоговой службы по Республике Алтай в МО «Майминский район» по состоянию на 10.01.2022 г. зарегистрировано 897 налогоплательщиков, применяющих специальный налоговый режим «Налог на профессиональный доход», в том числе 59 индивидуальных предпринимателей, 838 физических лиц. </w:t>
      </w:r>
    </w:p>
    <w:p w:rsidR="000C50BE" w:rsidRDefault="003D201F">
      <w:pP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Численность занятых в сфере МСП в МО «Майминский район» по состоянию на 10. 01.2022 г. составляет 3838. Численность занятых в сфере МСП в расчете на 1 тыс. населения – 110,88 чел. </w:t>
      </w:r>
    </w:p>
    <w:p w:rsidR="000C50BE" w:rsidRDefault="003D201F">
      <w:pP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В сравнении с планом на 01.01.2022 г. отмечено недостижение на  25,17 ед. </w:t>
      </w:r>
    </w:p>
    <w:p w:rsidR="000C50BE" w:rsidRDefault="003D201F">
      <w:pPr>
        <w:shd w:val="clear" w:color="auto" w:fill="FFFFFF"/>
        <w:spacing w:after="0" w:line="240" w:lineRule="auto"/>
        <w:ind w:firstLine="709"/>
        <w:contextualSpacing/>
        <w:jc w:val="both"/>
      </w:pPr>
      <w:r>
        <w:rPr>
          <w:rFonts w:ascii="Times New Roman" w:hAnsi="Times New Roman"/>
          <w:sz w:val="24"/>
          <w:szCs w:val="24"/>
        </w:rPr>
        <w:t>Отраслевая структура малого и среднего бизнеса на 10.01.2022 г. выглядит следующим образом:</w:t>
      </w:r>
    </w:p>
    <w:p w:rsidR="000C50BE" w:rsidRDefault="003D201F">
      <w:pPr>
        <w:shd w:val="clear" w:color="auto" w:fill="FFFFFF"/>
        <w:spacing w:after="0" w:line="240" w:lineRule="auto"/>
        <w:ind w:firstLine="709"/>
        <w:contextualSpacing/>
        <w:jc w:val="right"/>
      </w:pPr>
      <w:r>
        <w:rPr>
          <w:rFonts w:eastAsia="Times New Roman"/>
        </w:rPr>
        <w:t xml:space="preserve"> </w:t>
      </w:r>
      <w:r>
        <w:t>(%)</w:t>
      </w:r>
    </w:p>
    <w:tbl>
      <w:tblPr>
        <w:tblW w:w="5000" w:type="pct"/>
        <w:tblInd w:w="-59" w:type="dxa"/>
        <w:tblLayout w:type="fixed"/>
        <w:tblCellMar>
          <w:top w:w="45" w:type="dxa"/>
          <w:left w:w="45" w:type="dxa"/>
          <w:bottom w:w="45" w:type="dxa"/>
          <w:right w:w="45" w:type="dxa"/>
        </w:tblCellMar>
        <w:tblLook w:val="04A0" w:firstRow="1" w:lastRow="0" w:firstColumn="1" w:lastColumn="0" w:noHBand="0" w:noVBand="1"/>
      </w:tblPr>
      <w:tblGrid>
        <w:gridCol w:w="4327"/>
        <w:gridCol w:w="1255"/>
        <w:gridCol w:w="1263"/>
        <w:gridCol w:w="2493"/>
      </w:tblGrid>
      <w:tr w:rsidR="000C50BE">
        <w:tc>
          <w:tcPr>
            <w:tcW w:w="4335" w:type="dxa"/>
            <w:vMerge w:val="restart"/>
            <w:tcBorders>
              <w:top w:val="single" w:sz="6" w:space="0" w:color="808080"/>
              <w:left w:val="single" w:sz="6" w:space="0" w:color="808080"/>
              <w:right w:val="single" w:sz="6" w:space="0" w:color="808080"/>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 Наименование отрасли ВЭД</w:t>
            </w:r>
          </w:p>
        </w:tc>
        <w:tc>
          <w:tcPr>
            <w:tcW w:w="2522" w:type="dxa"/>
            <w:gridSpan w:val="2"/>
            <w:tcBorders>
              <w:top w:val="single" w:sz="6" w:space="0" w:color="808080"/>
              <w:left w:val="single" w:sz="6" w:space="0" w:color="808080"/>
              <w:bottom w:val="single" w:sz="6" w:space="0" w:color="808080"/>
              <w:right w:val="single" w:sz="6" w:space="0" w:color="808080"/>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szCs w:val="24"/>
                <w:lang w:eastAsia="ru-RU"/>
              </w:rPr>
              <w:t>Количество СМСП</w:t>
            </w:r>
          </w:p>
        </w:tc>
        <w:tc>
          <w:tcPr>
            <w:tcW w:w="2497" w:type="dxa"/>
            <w:tcBorders>
              <w:top w:val="single" w:sz="6" w:space="0" w:color="808080"/>
              <w:left w:val="single" w:sz="6" w:space="0" w:color="808080"/>
              <w:bottom w:val="single" w:sz="6" w:space="0" w:color="808080"/>
              <w:right w:val="single" w:sz="6" w:space="0" w:color="808080"/>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sz w:val="24"/>
                <w:szCs w:val="24"/>
              </w:rPr>
              <w:t>Численность занятых в сфере МСП</w:t>
            </w:r>
          </w:p>
        </w:tc>
      </w:tr>
      <w:tr w:rsidR="000C50BE">
        <w:tc>
          <w:tcPr>
            <w:tcW w:w="4335" w:type="dxa"/>
            <w:vMerge/>
            <w:tcBorders>
              <w:top w:val="single" w:sz="6" w:space="0" w:color="808080"/>
              <w:left w:val="single" w:sz="6" w:space="0" w:color="808080"/>
              <w:right w:val="single" w:sz="6" w:space="0" w:color="808080"/>
            </w:tcBorders>
            <w:shd w:val="clear" w:color="auto" w:fill="FFFFFF"/>
            <w:vAlign w:val="center"/>
          </w:tcPr>
          <w:p w:rsidR="000C50BE" w:rsidRDefault="000C50BE">
            <w:pPr>
              <w:spacing w:after="0" w:line="240" w:lineRule="auto"/>
              <w:contextualSpacing/>
              <w:rPr>
                <w:rFonts w:ascii="Times New Roman" w:hAnsi="Times New Roman"/>
                <w:color w:val="202020"/>
                <w:sz w:val="24"/>
                <w:szCs w:val="24"/>
                <w:lang w:eastAsia="ru-RU"/>
              </w:rPr>
            </w:pPr>
          </w:p>
        </w:tc>
        <w:tc>
          <w:tcPr>
            <w:tcW w:w="125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0C50BE" w:rsidRDefault="003D201F">
            <w:pPr>
              <w:spacing w:after="0" w:line="240" w:lineRule="auto"/>
              <w:contextualSpacing/>
              <w:jc w:val="center"/>
              <w:rPr>
                <w:rFonts w:ascii="Times New Roman" w:hAnsi="Times New Roman"/>
                <w:color w:val="202020"/>
                <w:sz w:val="16"/>
                <w:szCs w:val="16"/>
                <w:lang w:eastAsia="ru-RU"/>
              </w:rPr>
            </w:pPr>
            <w:r>
              <w:rPr>
                <w:rFonts w:ascii="Times New Roman" w:hAnsi="Times New Roman"/>
                <w:color w:val="202020"/>
                <w:sz w:val="16"/>
                <w:szCs w:val="16"/>
                <w:lang w:eastAsia="ru-RU"/>
              </w:rPr>
              <w:t>ед.</w:t>
            </w:r>
          </w:p>
        </w:tc>
        <w:tc>
          <w:tcPr>
            <w:tcW w:w="12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0C50BE" w:rsidRDefault="003D201F">
            <w:pPr>
              <w:spacing w:after="0" w:line="240" w:lineRule="auto"/>
              <w:contextualSpacing/>
              <w:jc w:val="center"/>
              <w:rPr>
                <w:rFonts w:ascii="Times New Roman" w:hAnsi="Times New Roman"/>
                <w:color w:val="202020"/>
                <w:sz w:val="16"/>
                <w:szCs w:val="16"/>
                <w:lang w:eastAsia="ru-RU"/>
              </w:rPr>
            </w:pPr>
            <w:r>
              <w:rPr>
                <w:rFonts w:ascii="Times New Roman" w:hAnsi="Times New Roman"/>
                <w:color w:val="202020"/>
                <w:sz w:val="16"/>
                <w:szCs w:val="16"/>
                <w:lang w:eastAsia="ru-RU"/>
              </w:rPr>
              <w:t>%</w:t>
            </w:r>
          </w:p>
        </w:tc>
        <w:tc>
          <w:tcPr>
            <w:tcW w:w="2497" w:type="dxa"/>
            <w:tcBorders>
              <w:top w:val="single" w:sz="6" w:space="0" w:color="808080"/>
              <w:left w:val="single" w:sz="6" w:space="0" w:color="808080"/>
              <w:bottom w:val="single" w:sz="6" w:space="0" w:color="808080"/>
              <w:right w:val="single" w:sz="6" w:space="0" w:color="808080"/>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16"/>
                <w:szCs w:val="16"/>
                <w:lang w:eastAsia="ru-RU"/>
              </w:rPr>
            </w:pPr>
            <w:r>
              <w:rPr>
                <w:rFonts w:ascii="Times New Roman" w:hAnsi="Times New Roman"/>
                <w:color w:val="202020"/>
                <w:sz w:val="16"/>
                <w:szCs w:val="16"/>
                <w:lang w:eastAsia="ru-RU"/>
              </w:rPr>
              <w:t>чел.</w:t>
            </w:r>
          </w:p>
        </w:tc>
      </w:tr>
      <w:tr w:rsidR="000C50BE">
        <w:trPr>
          <w:trHeight w:val="334"/>
        </w:trPr>
        <w:tc>
          <w:tcPr>
            <w:tcW w:w="433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Всего</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1360</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100</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3000</w:t>
            </w:r>
          </w:p>
        </w:tc>
      </w:tr>
      <w:tr w:rsidR="000C50BE">
        <w:tc>
          <w:tcPr>
            <w:tcW w:w="433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Сельское, лесное хозяйство, охота, рыболовство и рыбоводство</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88</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6,5</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124</w:t>
            </w:r>
          </w:p>
        </w:tc>
      </w:tr>
      <w:tr w:rsidR="000C50BE">
        <w:trPr>
          <w:trHeight w:val="313"/>
        </w:trPr>
        <w:tc>
          <w:tcPr>
            <w:tcW w:w="433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Добыча полезных ископаемых</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4</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0,3</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34</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Обрабатывающие производства</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116</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8,5</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524</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20</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1,5</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0C50BE">
            <w:pPr>
              <w:spacing w:after="0" w:line="240" w:lineRule="auto"/>
              <w:contextualSpacing/>
              <w:jc w:val="center"/>
              <w:rPr>
                <w:rFonts w:ascii="Times New Roman" w:hAnsi="Times New Roman"/>
                <w:color w:val="202020"/>
                <w:sz w:val="24"/>
                <w:lang w:eastAsia="ru-RU"/>
              </w:rPr>
            </w:pPr>
          </w:p>
          <w:p w:rsidR="000C50BE" w:rsidRDefault="000C50BE">
            <w:pPr>
              <w:spacing w:after="0" w:line="240" w:lineRule="auto"/>
              <w:contextualSpacing/>
              <w:jc w:val="center"/>
              <w:rPr>
                <w:rFonts w:ascii="Times New Roman" w:hAnsi="Times New Roman"/>
                <w:color w:val="202020"/>
                <w:sz w:val="24"/>
                <w:lang w:eastAsia="ru-RU"/>
              </w:rPr>
            </w:pPr>
          </w:p>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113</w:t>
            </w:r>
          </w:p>
        </w:tc>
      </w:tr>
      <w:tr w:rsidR="000C50BE">
        <w:trPr>
          <w:trHeight w:val="254"/>
        </w:trPr>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Строительство</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117</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8,6</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197</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 xml:space="preserve">Торговля оптовая и розничная </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508</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37,4</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978</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Транспортировка и хранение</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141</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10,4</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245</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гостиниц и предприятий общественного питания</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90</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6,6</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339</w:t>
            </w:r>
          </w:p>
        </w:tc>
      </w:tr>
      <w:tr w:rsidR="000C50BE">
        <w:trPr>
          <w:trHeight w:val="691"/>
        </w:trPr>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в области информации и связи</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20</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1,5</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0C50BE">
            <w:pPr>
              <w:spacing w:after="0" w:line="240" w:lineRule="auto"/>
              <w:contextualSpacing/>
              <w:jc w:val="center"/>
              <w:rPr>
                <w:rFonts w:ascii="Times New Roman" w:hAnsi="Times New Roman"/>
                <w:color w:val="202020"/>
                <w:sz w:val="24"/>
                <w:lang w:eastAsia="ru-RU"/>
              </w:rPr>
            </w:pPr>
          </w:p>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26</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финансовая и страховая</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6</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0,4</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6</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lastRenderedPageBreak/>
              <w:t>Деятельность по операциям с недвижимым имуществом</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44</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3,2</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84</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профессиональная, научная и техническая</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69</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5,1</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116</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административная и сопутствующие дополнительные услуги</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50</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3,7</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90</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Образование</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8</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0,6</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8</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в области здравоохранения и социальных услуг</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10</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0,7</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43</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в области культуры, спорта, организации досуга и развлечений</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8</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0,1</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8</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Предоставление прочих видов услуг</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lang w:eastAsia="ru-RU"/>
              </w:rPr>
              <w:t>61</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4,5</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lang w:eastAsia="ru-RU"/>
              </w:rPr>
              <w:t>65</w:t>
            </w:r>
          </w:p>
        </w:tc>
      </w:tr>
      <w:tr w:rsidR="000C50BE">
        <w:tc>
          <w:tcPr>
            <w:tcW w:w="433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rPr>
                <w:rFonts w:ascii="Times New Roman" w:hAnsi="Times New Roman"/>
                <w:color w:val="202020"/>
                <w:sz w:val="24"/>
                <w:szCs w:val="24"/>
                <w:lang w:eastAsia="ru-RU"/>
              </w:rPr>
            </w:pPr>
            <w:r>
              <w:rPr>
                <w:rFonts w:ascii="Times New Roman" w:hAnsi="Times New Roman"/>
                <w:color w:val="202020"/>
                <w:sz w:val="24"/>
                <w:szCs w:val="24"/>
                <w:lang w:eastAsia="ru-RU"/>
              </w:rPr>
              <w:t>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1257"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szCs w:val="24"/>
                <w:lang w:eastAsia="ru-RU"/>
              </w:rPr>
              <w:t>0</w:t>
            </w:r>
          </w:p>
        </w:tc>
        <w:tc>
          <w:tcPr>
            <w:tcW w:w="1265" w:type="dxa"/>
            <w:tcBorders>
              <w:top w:val="single" w:sz="6" w:space="0" w:color="797979"/>
              <w:left w:val="single" w:sz="6" w:space="0" w:color="797979"/>
              <w:bottom w:val="single" w:sz="6" w:space="0" w:color="797979"/>
              <w:right w:val="single" w:sz="6" w:space="0" w:color="797979"/>
            </w:tcBorders>
            <w:shd w:val="clear" w:color="auto" w:fill="FFFFFF"/>
            <w:vAlign w:val="center"/>
          </w:tcPr>
          <w:p w:rsidR="000C50BE" w:rsidRDefault="003D201F">
            <w:pPr>
              <w:spacing w:after="0" w:line="240" w:lineRule="auto"/>
              <w:contextualSpacing/>
              <w:jc w:val="center"/>
              <w:rPr>
                <w:rFonts w:ascii="Times New Roman" w:hAnsi="Times New Roman"/>
                <w:color w:val="202020"/>
                <w:sz w:val="24"/>
                <w:lang w:eastAsia="ru-RU"/>
              </w:rPr>
            </w:pPr>
            <w:r>
              <w:rPr>
                <w:rFonts w:ascii="Times New Roman" w:hAnsi="Times New Roman"/>
                <w:color w:val="202020"/>
                <w:sz w:val="24"/>
                <w:szCs w:val="24"/>
                <w:lang w:eastAsia="ru-RU"/>
              </w:rPr>
              <w:t>0</w:t>
            </w:r>
          </w:p>
        </w:tc>
        <w:tc>
          <w:tcPr>
            <w:tcW w:w="2497" w:type="dxa"/>
            <w:tcBorders>
              <w:top w:val="single" w:sz="6" w:space="0" w:color="797979"/>
              <w:left w:val="single" w:sz="6" w:space="0" w:color="797979"/>
              <w:bottom w:val="single" w:sz="6" w:space="0" w:color="797979"/>
              <w:right w:val="single" w:sz="6" w:space="0" w:color="797979"/>
            </w:tcBorders>
            <w:shd w:val="clear" w:color="auto" w:fill="FFFFFF"/>
            <w:tcMar>
              <w:top w:w="0" w:type="dxa"/>
              <w:left w:w="0" w:type="dxa"/>
              <w:bottom w:w="0" w:type="dxa"/>
              <w:right w:w="0" w:type="dxa"/>
            </w:tcMar>
          </w:tcPr>
          <w:p w:rsidR="000C50BE" w:rsidRDefault="000C50BE">
            <w:pPr>
              <w:spacing w:after="0" w:line="240" w:lineRule="auto"/>
              <w:contextualSpacing/>
              <w:jc w:val="center"/>
              <w:rPr>
                <w:rFonts w:ascii="Times New Roman" w:hAnsi="Times New Roman"/>
                <w:color w:val="202020"/>
                <w:sz w:val="24"/>
                <w:lang w:eastAsia="ru-RU"/>
              </w:rPr>
            </w:pPr>
          </w:p>
          <w:p w:rsidR="000C50BE" w:rsidRDefault="000C50BE">
            <w:pPr>
              <w:spacing w:after="0" w:line="240" w:lineRule="auto"/>
              <w:contextualSpacing/>
              <w:jc w:val="center"/>
              <w:rPr>
                <w:rFonts w:ascii="Times New Roman" w:hAnsi="Times New Roman"/>
                <w:color w:val="202020"/>
                <w:sz w:val="24"/>
                <w:szCs w:val="24"/>
                <w:lang w:eastAsia="ru-RU"/>
              </w:rPr>
            </w:pPr>
          </w:p>
          <w:p w:rsidR="000C50BE" w:rsidRDefault="003D201F">
            <w:pPr>
              <w:spacing w:after="0" w:line="240" w:lineRule="auto"/>
              <w:contextualSpacing/>
              <w:jc w:val="center"/>
              <w:rPr>
                <w:rFonts w:ascii="Times New Roman" w:hAnsi="Times New Roman"/>
                <w:color w:val="202020"/>
                <w:sz w:val="24"/>
                <w:szCs w:val="24"/>
                <w:lang w:eastAsia="ru-RU"/>
              </w:rPr>
            </w:pPr>
            <w:r>
              <w:rPr>
                <w:rFonts w:ascii="Times New Roman" w:hAnsi="Times New Roman"/>
                <w:color w:val="202020"/>
                <w:sz w:val="24"/>
                <w:szCs w:val="24"/>
                <w:lang w:eastAsia="ru-RU"/>
              </w:rPr>
              <w:t>0</w:t>
            </w:r>
          </w:p>
        </w:tc>
      </w:tr>
    </w:tbl>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 xml:space="preserve">В целях увеличения количества субъектов малого и среднего предпринимательства в МО «Майминский район» на постоянной основе проводится информирование субъектов МСП о поддержке, оказываемой на уровне Майминского района и на уровне Республики Алтай.  </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rPr>
          <w:rFonts w:ascii="Times New Roman" w:eastAsia="Times New Roman" w:hAnsi="Times New Roman"/>
          <w:color w:val="000000"/>
          <w:sz w:val="24"/>
        </w:rPr>
      </w:pPr>
      <w:r>
        <w:rPr>
          <w:rFonts w:ascii="Times New Roman" w:eastAsia="Times New Roman" w:hAnsi="Times New Roman"/>
          <w:color w:val="000000"/>
          <w:sz w:val="24"/>
        </w:rPr>
        <w:t>В 2021 г. была оказана следующая поддержка предпринимателям Майминского района:</w:t>
      </w:r>
    </w:p>
    <w:p w:rsidR="000C50BE" w:rsidRDefault="003D201F">
      <w:pPr>
        <w:pBdr>
          <w:top w:val="none" w:sz="4" w:space="0" w:color="000000"/>
          <w:left w:val="none" w:sz="4" w:space="0" w:color="000000"/>
          <w:bottom w:val="none" w:sz="4" w:space="0" w:color="000000"/>
          <w:right w:val="none" w:sz="4" w:space="0" w:color="000000"/>
        </w:pBdr>
        <w:spacing w:before="77" w:after="0"/>
        <w:ind w:firstLine="709"/>
      </w:pPr>
      <w:r>
        <w:rPr>
          <w:rFonts w:ascii="Times New Roman" w:hAnsi="Times New Roman"/>
          <w:sz w:val="24"/>
        </w:rPr>
        <w:t xml:space="preserve">Министерство экономического развития РА: 3 субсидии – 1,4 млн. руб.; </w:t>
      </w:r>
    </w:p>
    <w:p w:rsidR="000C50BE" w:rsidRDefault="003D201F">
      <w:pPr>
        <w:pBdr>
          <w:top w:val="none" w:sz="4" w:space="0" w:color="000000"/>
          <w:left w:val="none" w:sz="4" w:space="0" w:color="000000"/>
          <w:bottom w:val="none" w:sz="4" w:space="0" w:color="000000"/>
          <w:right w:val="none" w:sz="4" w:space="0" w:color="000000"/>
        </w:pBd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rPr>
        <w:t>Министерство природный ресурсов, экологии и туризма РА: 1 субсидия -2,9 млн. руб.;</w:t>
      </w:r>
    </w:p>
    <w:p w:rsidR="000C50BE" w:rsidRDefault="003D201F">
      <w:pPr>
        <w:pBdr>
          <w:top w:val="none" w:sz="4" w:space="0" w:color="000000"/>
          <w:left w:val="none" w:sz="4" w:space="0" w:color="000000"/>
          <w:bottom w:val="none" w:sz="4" w:space="0" w:color="000000"/>
          <w:right w:val="none" w:sz="4" w:space="0" w:color="000000"/>
        </w:pBd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rPr>
        <w:t>Министерство сельского хозяйства РА:13 субсидий- 12,2 млн. руб.</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Проводится совместная работа с филиалом КУ РА «Центр занятости населения по Республике Алтай» по Майминскому району по рассмотрению бизнес-планов на предоставление единовременной финансовой помощи на организацию предпринимательской деятельности безработными гражданами. За 2021 г. проведено три заседаний комиссии, предоставлена единовременная финансовая помощь на организацию предпринимательской деятельности 3 гражданам, стоящим на учете как безработные, в сумме 436,7 тыс. руб. (по 145,56 тыс. руб. каждому).</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Также проведено 6 заседаний комиссии КУ РА «Управление социальной поддержки населения Майминского района» по отбору проектов в целях предоставления государственной социальной помощи в виде заключения социального контракта на осуществление индивидуальной предпринимательской деятельности или крестьянского (фермерского) хозяйства. Социальный контракт по направлению «оказание помощи по осуществлению индивидуальной предпринимательской деятельности» заключается на срок от 3 до 12 месяцев. Размер единовременной выплаты составляет 250 тысяч рублей.</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t>В целях предотвращения снижения численности работников субъектов малого и среднего предпринимательства в МО «Майминский район» ведется рассылка на электронные адреса информации о необходимости регистрации работодателей на портале «Работа в России» и о мерах поддержки предпринимателей, оказываемых в связи с распространением новой коронавирусной инфекции.</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r>
        <w:rPr>
          <w:rFonts w:ascii="Times New Roman" w:eastAsia="Times New Roman" w:hAnsi="Times New Roman"/>
          <w:color w:val="000000"/>
          <w:sz w:val="24"/>
        </w:rPr>
        <w:lastRenderedPageBreak/>
        <w:t>С целью создания благоприятных условий для эффективного развития малого и среднего предпринимательства на территории МО «Майминский район» необходимо создание понятной единой системы информирования от создания до развития, с разъяснением пошаговых действий на каждом этапе, выполняемых требований контролирующих органов, организация муниципальных рынков сбыта производимой продукции местных производителей.</w:t>
      </w:r>
    </w:p>
    <w:p w:rsidR="000C50BE" w:rsidRDefault="000C50BE">
      <w:pPr>
        <w:shd w:val="clear" w:color="auto" w:fill="FFFFFF"/>
        <w:spacing w:after="0" w:line="240" w:lineRule="auto"/>
        <w:ind w:firstLine="709"/>
        <w:contextualSpacing/>
        <w:jc w:val="both"/>
        <w:rPr>
          <w:rFonts w:ascii="Times New Roman" w:hAnsi="Times New Roman"/>
          <w:sz w:val="24"/>
          <w:szCs w:val="24"/>
        </w:rPr>
      </w:pPr>
    </w:p>
    <w:p w:rsidR="000C50BE" w:rsidRDefault="003D201F">
      <w:pPr>
        <w:shd w:val="clear" w:color="auto" w:fill="FFFFFF"/>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 xml:space="preserve">2.3. Туристский поток </w:t>
      </w:r>
    </w:p>
    <w:p w:rsidR="000C50BE" w:rsidRDefault="003D201F">
      <w:pP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szCs w:val="24"/>
        </w:rPr>
        <w:t>Туристский поток (с учетом неорганизованных туристов) на 01.01.2022 г. составил 578,6 тыс. человек что ниже аналогичного периода прошлого года на 12,6 тыс. человек или на 2,1 % (на 01.01.2020 г. – 591,2 тыс. человек).</w:t>
      </w:r>
    </w:p>
    <w:p w:rsidR="000C50BE" w:rsidRDefault="003D201F">
      <w:pP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Плановый показатель составляет 102 %. Отклонение фактического значения целевого показателя от плана составило - 4,1 пп. </w:t>
      </w:r>
    </w:p>
    <w:p w:rsidR="000C50BE" w:rsidRDefault="003D201F">
      <w:pPr>
        <w:pBdr>
          <w:top w:val="none" w:sz="4" w:space="0" w:color="000000"/>
          <w:left w:val="none" w:sz="4" w:space="0" w:color="000000"/>
          <w:bottom w:val="none" w:sz="4" w:space="0" w:color="000000"/>
          <w:right w:val="none" w:sz="4" w:space="0" w:color="000000"/>
        </w:pBd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rPr>
        <w:t xml:space="preserve">Причинами снижения турпотока в 2021 г. явилось открытие границ для выездного туризма в результате частичного снятия ограничений, принятых в 2020 г. в связи с новой коронавирусной инфекцией, а также увеличение стоимости туристических услуг на территории Республики Алтай.  </w:t>
      </w:r>
    </w:p>
    <w:p w:rsidR="000C50BE" w:rsidRDefault="000C50BE">
      <w:pPr>
        <w:shd w:val="clear" w:color="auto" w:fill="FFFFFF"/>
        <w:spacing w:after="0" w:line="240" w:lineRule="auto"/>
        <w:ind w:firstLine="709"/>
        <w:contextualSpacing/>
        <w:jc w:val="both"/>
        <w:rPr>
          <w:rFonts w:ascii="Times New Roman" w:hAnsi="Times New Roman"/>
          <w:sz w:val="24"/>
          <w:szCs w:val="24"/>
        </w:rPr>
      </w:pPr>
    </w:p>
    <w:p w:rsidR="000C50BE" w:rsidRDefault="003D201F">
      <w:pPr>
        <w:spacing w:after="0" w:line="240" w:lineRule="auto"/>
        <w:ind w:firstLine="709"/>
        <w:jc w:val="both"/>
      </w:pPr>
      <w:r>
        <w:rPr>
          <w:rFonts w:ascii="Times New Roman" w:hAnsi="Times New Roman"/>
          <w:b/>
          <w:bCs/>
          <w:sz w:val="24"/>
          <w:szCs w:val="24"/>
        </w:rPr>
        <w:t>2.4. Сельское хозяйство</w:t>
      </w:r>
    </w:p>
    <w:p w:rsidR="000C50BE" w:rsidRDefault="003D201F">
      <w:pPr>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В аграрном секторе по виду деятельности «Сельское хозяйство» зарегистрировано 48 сельскохозяйственных предприятий, из них фактически осуществляют свою деятельность 48 ед., из которых 9 сельхозорганизаций и 11 предприятий переработки сельхозпродукции. Также зарегистрировано 28 крестьянских (фермерских) хозяйств и индивидуальных предпринимателей (далее – КФХ), из которых фактически осуществляют деятельность 28 ед. Кроме того осуществляют деятельность 10 СППК и 10206 личных подсобных хозяйств (далее – ЛПХ).</w:t>
      </w:r>
    </w:p>
    <w:p w:rsidR="000C50BE" w:rsidRDefault="003D201F">
      <w:pPr>
        <w:shd w:val="clear" w:color="auto" w:fill="FFFFFF"/>
        <w:spacing w:after="0" w:line="240" w:lineRule="auto"/>
        <w:ind w:firstLine="709"/>
        <w:jc w:val="both"/>
      </w:pPr>
      <w:r>
        <w:rPr>
          <w:rFonts w:ascii="Times New Roman" w:eastAsia="Times New Roman" w:hAnsi="Times New Roman"/>
          <w:sz w:val="24"/>
          <w:szCs w:val="24"/>
          <w:lang w:eastAsia="ar-SA"/>
        </w:rPr>
        <w:t xml:space="preserve">Объем производства сельскохозяйственной продукции в хозяйствах всех категорий на 01.01.2022 г. в фактически действовавших ценах составил 564,3 млн. руб. (на душу населения 4,1 тыс. руб.), в том числе продукция животноводства – 307,4 млн. руб., продукция растениеводства – 256,9 млн. руб. В сравнении с 01.01.2021 г. наблюдается </w:t>
      </w:r>
      <w:r>
        <w:rPr>
          <w:rFonts w:ascii="Times New Roman" w:eastAsia="Times New Roman" w:hAnsi="Times New Roman"/>
          <w:i/>
          <w:sz w:val="24"/>
          <w:szCs w:val="24"/>
          <w:lang w:eastAsia="ar-SA"/>
        </w:rPr>
        <w:t>рост</w:t>
      </w:r>
      <w:r>
        <w:rPr>
          <w:rFonts w:ascii="Times New Roman" w:eastAsia="Times New Roman" w:hAnsi="Times New Roman"/>
          <w:sz w:val="24"/>
          <w:szCs w:val="24"/>
          <w:lang w:eastAsia="ar-SA"/>
        </w:rPr>
        <w:t xml:space="preserve"> объема производства сельскохозяйственной продукции на 92,6 тыс. руб. или на 119,6 %, что связано с увеличением объемов производства в сельскохозяйственных организациях.</w:t>
      </w:r>
    </w:p>
    <w:p w:rsidR="000C50BE" w:rsidRDefault="003D201F">
      <w:pPr>
        <w:shd w:val="clear" w:color="auto" w:fill="FFFFFF"/>
        <w:spacing w:after="0" w:line="240" w:lineRule="auto"/>
        <w:ind w:firstLine="709"/>
        <w:jc w:val="both"/>
      </w:pPr>
      <w:r>
        <w:rPr>
          <w:rFonts w:ascii="Times New Roman" w:eastAsia="Times New Roman" w:hAnsi="Times New Roman"/>
          <w:sz w:val="24"/>
          <w:szCs w:val="24"/>
          <w:lang w:eastAsia="ar-SA"/>
        </w:rPr>
        <w:t xml:space="preserve">Индекс производства сельскохозяйственной продукции в хозяйствах всех категорий составил 92,9 %, в том числе продукции животноводства — 88,7 %, продукции растениеводства - 98,9 %. В сравнении с аналогичным периодом предыдущего года отмечен </w:t>
      </w:r>
      <w:r>
        <w:rPr>
          <w:rFonts w:ascii="Times New Roman" w:eastAsia="Times New Roman" w:hAnsi="Times New Roman"/>
          <w:i/>
          <w:sz w:val="24"/>
          <w:szCs w:val="24"/>
          <w:lang w:eastAsia="ar-SA"/>
        </w:rPr>
        <w:t xml:space="preserve">рост </w:t>
      </w:r>
      <w:r>
        <w:rPr>
          <w:rFonts w:ascii="Times New Roman" w:eastAsia="Times New Roman" w:hAnsi="Times New Roman"/>
          <w:sz w:val="24"/>
          <w:szCs w:val="24"/>
          <w:lang w:eastAsia="ar-SA"/>
        </w:rPr>
        <w:t>индекса производства сельскохозяйственной продукции в хозяйствах всех категорий на 102,7 процентных пунктов.</w:t>
      </w:r>
    </w:p>
    <w:p w:rsidR="000C50BE" w:rsidRDefault="003D201F">
      <w:pPr>
        <w:spacing w:after="0" w:line="240" w:lineRule="auto"/>
        <w:ind w:firstLine="709"/>
        <w:jc w:val="both"/>
        <w:rPr>
          <w:rFonts w:ascii="Times New Roman" w:eastAsia="Times New Roman" w:hAnsi="Times New Roman"/>
          <w:i/>
          <w:iCs/>
          <w:sz w:val="24"/>
          <w:szCs w:val="24"/>
          <w:lang w:eastAsia="ar-SA"/>
        </w:rPr>
      </w:pPr>
      <w:r>
        <w:rPr>
          <w:rFonts w:ascii="Times New Roman" w:eastAsia="Times New Roman" w:hAnsi="Times New Roman"/>
          <w:i/>
          <w:iCs/>
          <w:sz w:val="24"/>
          <w:szCs w:val="24"/>
          <w:lang w:eastAsia="ar-SA"/>
        </w:rPr>
        <w:t>Растениеводство</w:t>
      </w:r>
    </w:p>
    <w:p w:rsidR="000C50BE" w:rsidRDefault="003D201F">
      <w:pPr>
        <w:tabs>
          <w:tab w:val="left" w:pos="7797"/>
        </w:tabs>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Посевная площадь сельскохозяйственных культур под урожай текущего года в хозяйствах всех категорий (без учета ЛПХ) составила 3982 га. В структуре посевной площади 63,6 % (2983 га) занято многолетними травами посева прошлых лет, картофелем - 7,3 % (292 га), овощами - 2,3 % (90 га). </w:t>
      </w:r>
    </w:p>
    <w:p w:rsidR="000C50BE" w:rsidRDefault="003D201F">
      <w:pPr>
        <w:spacing w:after="0" w:line="240" w:lineRule="auto"/>
        <w:ind w:firstLine="709"/>
        <w:jc w:val="both"/>
        <w:rPr>
          <w:highlight w:val="white"/>
        </w:rPr>
      </w:pPr>
      <w:r>
        <w:rPr>
          <w:rFonts w:ascii="Times New Roman" w:eastAsia="Arial" w:hAnsi="Times New Roman"/>
          <w:sz w:val="24"/>
          <w:szCs w:val="24"/>
          <w:highlight w:val="white"/>
          <w:lang w:eastAsia="ar-SA"/>
        </w:rPr>
        <w:t>По состоянию на 01.01.2022 г. всеми хозяйствами МО «Майминский район» заготовлено: грубых кормов (сена однолетних и многолетних трав) - 6727,8 тонны или 131,1 % к аналогичному периоду прошлого года, консервированных грубых кормов (сенажа) - 2093 тонны или 131 % к аналогичному периоду прошлого года, сочных кормов (силоса) - 9002 тонны или 98 % к аналогичному периоду прошлого года.</w:t>
      </w:r>
    </w:p>
    <w:p w:rsidR="000C50BE" w:rsidRDefault="003D201F">
      <w:pPr>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Обеспеченность кормами составляет 9,1 ц. корм. ед. на 1 усл. гол., что составляет 122 % от потребности в кормах (потребность на 1 усл. гол. - 7,45 ц. корм. ед.). Для обеспечения кормами в полном объеме закуплено грубых и концентрированных кормов - 14101 тонн, что составило дополнительно 4,4 ц. корм. ед. на 1 усл. гол.</w:t>
      </w:r>
    </w:p>
    <w:p w:rsidR="000C50BE" w:rsidRDefault="003D201F">
      <w:pPr>
        <w:pBdr>
          <w:top w:val="none" w:sz="4" w:space="0" w:color="000000"/>
          <w:left w:val="none" w:sz="4" w:space="0" w:color="000000"/>
          <w:bottom w:val="none" w:sz="4" w:space="0" w:color="000000"/>
          <w:right w:val="none" w:sz="4" w:space="0" w:color="000000"/>
        </w:pBdr>
        <w:spacing w:after="0" w:line="253" w:lineRule="atLeast"/>
        <w:ind w:firstLine="708"/>
        <w:jc w:val="both"/>
      </w:pPr>
      <w:r>
        <w:rPr>
          <w:rFonts w:ascii="Times New Roman" w:eastAsia="Times New Roman" w:hAnsi="Times New Roman"/>
          <w:color w:val="000000"/>
          <w:sz w:val="24"/>
          <w:u w:val="single"/>
        </w:rPr>
        <w:t xml:space="preserve"> Валовый сбор картофеля в сельскохозяйственных организациях и</w:t>
      </w:r>
      <w:r>
        <w:rPr>
          <w:rFonts w:ascii="Times New Roman" w:eastAsia="Times New Roman" w:hAnsi="Times New Roman"/>
          <w:color w:val="000000"/>
          <w:sz w:val="24"/>
        </w:rPr>
        <w:t xml:space="preserve"> </w:t>
      </w:r>
      <w:r>
        <w:rPr>
          <w:rFonts w:ascii="Times New Roman" w:eastAsia="Times New Roman" w:hAnsi="Times New Roman"/>
          <w:color w:val="000000"/>
          <w:sz w:val="24"/>
          <w:u w:val="single"/>
        </w:rPr>
        <w:t>КФХ, включая индивидуальных предпринимателей</w:t>
      </w:r>
      <w:r>
        <w:rPr>
          <w:rFonts w:ascii="Times New Roman" w:eastAsia="Times New Roman" w:hAnsi="Times New Roman"/>
          <w:color w:val="000000"/>
          <w:sz w:val="24"/>
        </w:rPr>
        <w:t xml:space="preserve"> составил 168,8 т, ниже на 35,8 % к аналогичному периоду прошлого года, что связано со снижением урожайности картофеля в сельскохозяйственных организациях (ООО «Эксперимент» и ИП Цой). Средняя урожайность картофеля в сельскохозяйственных организациях и КФХ составила 84,4 ц/га (2020 г. - 192,4 ц/га).</w:t>
      </w:r>
    </w:p>
    <w:p w:rsidR="000C50BE" w:rsidRDefault="003D201F">
      <w:pPr>
        <w:pBdr>
          <w:top w:val="none" w:sz="4" w:space="0" w:color="000000"/>
          <w:left w:val="none" w:sz="4" w:space="0" w:color="000000"/>
          <w:bottom w:val="none" w:sz="4" w:space="0" w:color="000000"/>
          <w:right w:val="none" w:sz="4" w:space="0" w:color="000000"/>
        </w:pBdr>
        <w:spacing w:after="0" w:line="253" w:lineRule="atLeast"/>
        <w:ind w:firstLine="708"/>
        <w:jc w:val="both"/>
      </w:pPr>
      <w:r>
        <w:rPr>
          <w:rFonts w:ascii="Times New Roman" w:eastAsia="Times New Roman" w:hAnsi="Times New Roman"/>
          <w:color w:val="000000"/>
          <w:sz w:val="24"/>
          <w:u w:val="single"/>
        </w:rPr>
        <w:t>Валовый сбор овощей открытого и закрытого грунта в сельскохозяйственных организациях и крестьянских (фермерских) хозяйствах, включая индивидуальных предпринимателей</w:t>
      </w:r>
      <w:r>
        <w:rPr>
          <w:rFonts w:ascii="Times New Roman" w:eastAsia="Times New Roman" w:hAnsi="Times New Roman"/>
          <w:color w:val="000000"/>
          <w:sz w:val="24"/>
        </w:rPr>
        <w:t xml:space="preserve"> составил 220,3 т или 71,9 % к аналогичному периоду прошлого года за счет снижения урожайности в сельскохозяйственных организациях и ИП (ООО «Эксперимент», ИП Цой)</w:t>
      </w:r>
      <w:r>
        <w:rPr>
          <w:rFonts w:ascii="Times New Roman" w:eastAsia="Times New Roman" w:hAnsi="Times New Roman"/>
          <w:i/>
          <w:color w:val="000000"/>
          <w:sz w:val="24"/>
        </w:rPr>
        <w:t xml:space="preserve">. </w:t>
      </w:r>
      <w:r>
        <w:rPr>
          <w:rFonts w:ascii="Times New Roman" w:eastAsia="Times New Roman" w:hAnsi="Times New Roman"/>
          <w:color w:val="000000"/>
          <w:sz w:val="24"/>
        </w:rPr>
        <w:t>Средняя урожайность овощей открытого и закрытого грунта в сельскохозяйственных организациях и КФХ составила 110,2 ц/га (2020 г. - 244 ц/га).</w:t>
      </w:r>
    </w:p>
    <w:p w:rsidR="000C50BE" w:rsidRDefault="003D201F">
      <w:pPr>
        <w:pBdr>
          <w:top w:val="none" w:sz="4" w:space="0" w:color="000000"/>
          <w:left w:val="none" w:sz="4" w:space="0" w:color="000000"/>
          <w:bottom w:val="none" w:sz="4" w:space="0" w:color="000000"/>
          <w:right w:val="none" w:sz="4" w:space="0" w:color="000000"/>
        </w:pBdr>
        <w:spacing w:after="0"/>
        <w:ind w:firstLine="708"/>
        <w:jc w:val="both"/>
        <w:rPr>
          <w:highlight w:val="white"/>
        </w:rPr>
      </w:pPr>
      <w:r>
        <w:rPr>
          <w:rFonts w:ascii="Times New Roman" w:eastAsia="Times New Roman" w:hAnsi="Times New Roman"/>
          <w:color w:val="000000"/>
          <w:sz w:val="24"/>
          <w:highlight w:val="white"/>
        </w:rPr>
        <w:t>Валовый сбор картофеля и овощей открытого грунта в сельскохозяйственных организациях и КФХ составил:</w:t>
      </w:r>
      <w:r>
        <w:rPr>
          <w:rFonts w:ascii="Times New Roman" w:eastAsia="Times New Roman" w:hAnsi="Times New Roman"/>
          <w:color w:val="0070C0"/>
          <w:sz w:val="28"/>
          <w:highlight w:val="white"/>
        </w:rPr>
        <w:t xml:space="preserve"> </w:t>
      </w:r>
    </w:p>
    <w:tbl>
      <w:tblPr>
        <w:tblStyle w:val="af"/>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715"/>
        <w:gridCol w:w="1903"/>
        <w:gridCol w:w="1918"/>
        <w:gridCol w:w="1798"/>
      </w:tblGrid>
      <w:tr w:rsidR="000C50BE">
        <w:tc>
          <w:tcPr>
            <w:tcW w:w="3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color w:val="000000"/>
                <w:highlight w:val="white"/>
              </w:rPr>
            </w:pPr>
            <w:r>
              <w:rPr>
                <w:rFonts w:ascii="Times New Roman" w:eastAsia="Times New Roman" w:hAnsi="Times New Roman"/>
                <w:color w:val="000000" w:themeColor="text1"/>
                <w:sz w:val="24"/>
                <w:highlight w:val="white"/>
              </w:rPr>
              <w:t>Наименование</w:t>
            </w:r>
          </w:p>
        </w:tc>
        <w:tc>
          <w:tcPr>
            <w:tcW w:w="19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tabs>
                <w:tab w:val="left" w:pos="2229"/>
              </w:tabs>
              <w:jc w:val="center"/>
              <w:rPr>
                <w:color w:val="000000"/>
                <w:highlight w:val="white"/>
              </w:rPr>
            </w:pPr>
            <w:r>
              <w:rPr>
                <w:rFonts w:ascii="Times New Roman" w:eastAsia="Times New Roman" w:hAnsi="Times New Roman"/>
                <w:color w:val="000000" w:themeColor="text1"/>
                <w:sz w:val="24"/>
                <w:highlight w:val="white"/>
              </w:rPr>
              <w:t>на 01.01.2021 г.</w:t>
            </w:r>
          </w:p>
        </w:tc>
        <w:tc>
          <w:tcPr>
            <w:tcW w:w="19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tabs>
                <w:tab w:val="left" w:pos="2229"/>
              </w:tabs>
              <w:jc w:val="center"/>
              <w:rPr>
                <w:color w:val="000000"/>
                <w:highlight w:val="white"/>
              </w:rPr>
            </w:pPr>
            <w:r>
              <w:rPr>
                <w:rFonts w:ascii="Times New Roman" w:eastAsia="Times New Roman" w:hAnsi="Times New Roman"/>
                <w:color w:val="000000" w:themeColor="text1"/>
                <w:sz w:val="24"/>
                <w:highlight w:val="white"/>
              </w:rPr>
              <w:t>на 01.01.2022 г.</w:t>
            </w:r>
          </w:p>
        </w:tc>
        <w:tc>
          <w:tcPr>
            <w:tcW w:w="180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color w:val="000000"/>
                <w:highlight w:val="white"/>
              </w:rPr>
            </w:pPr>
            <w:r>
              <w:rPr>
                <w:rFonts w:ascii="Times New Roman" w:eastAsia="Times New Roman" w:hAnsi="Times New Roman"/>
                <w:color w:val="000000" w:themeColor="text1"/>
                <w:sz w:val="24"/>
                <w:highlight w:val="white"/>
              </w:rPr>
              <w:t>Темп роста, %</w:t>
            </w:r>
          </w:p>
        </w:tc>
      </w:tr>
      <w:tr w:rsidR="000C50BE">
        <w:tc>
          <w:tcPr>
            <w:tcW w:w="372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rPr>
                <w:color w:val="000000"/>
                <w:highlight w:val="white"/>
              </w:rPr>
            </w:pPr>
            <w:r>
              <w:rPr>
                <w:rFonts w:ascii="Times New Roman" w:eastAsia="Times New Roman" w:hAnsi="Times New Roman"/>
                <w:color w:val="000000" w:themeColor="text1"/>
                <w:sz w:val="24"/>
                <w:highlight w:val="white"/>
              </w:rPr>
              <w:t>Валовый сбор картофеля в сельскохозяйственных организациях и крестьянских (фермерских) хозяйствах, включая индивидуальных предпринимателей, тонн</w:t>
            </w:r>
          </w:p>
        </w:tc>
        <w:tc>
          <w:tcPr>
            <w:tcW w:w="190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rFonts w:ascii="Tibetan Machine Uni" w:eastAsia="Tibetan Machine Uni" w:hAnsi="Tibetan Machine Uni" w:cs="Tibetan Machine Uni"/>
                <w:highlight w:val="white"/>
              </w:rPr>
            </w:pPr>
            <w:r>
              <w:rPr>
                <w:rFonts w:ascii="Tibetan Machine Uni" w:eastAsia="Tibetan Machine Uni" w:hAnsi="Tibetan Machine Uni" w:cs="Tibetan Machine Uni"/>
                <w:highlight w:val="white"/>
              </w:rPr>
              <w:t>263</w:t>
            </w:r>
          </w:p>
        </w:tc>
        <w:tc>
          <w:tcPr>
            <w:tcW w:w="192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rFonts w:ascii="Tibetan Machine Uni" w:eastAsia="Tibetan Machine Uni" w:hAnsi="Tibetan Machine Uni" w:cs="Tibetan Machine Uni"/>
                <w:highlight w:val="white"/>
              </w:rPr>
            </w:pPr>
            <w:r>
              <w:rPr>
                <w:rFonts w:ascii="Tibetan Machine Uni" w:eastAsia="Tibetan Machine Uni" w:hAnsi="Tibetan Machine Uni" w:cs="Tibetan Machine Uni"/>
              </w:rPr>
              <w:t>168,8</w:t>
            </w:r>
          </w:p>
        </w:tc>
        <w:tc>
          <w:tcPr>
            <w:tcW w:w="180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rFonts w:ascii="Tibetan Machine Uni" w:eastAsia="Tibetan Machine Uni" w:hAnsi="Tibetan Machine Uni" w:cs="Tibetan Machine Uni"/>
                <w:highlight w:val="white"/>
              </w:rPr>
            </w:pPr>
            <w:r>
              <w:rPr>
                <w:rFonts w:ascii="Tibetan Machine Uni" w:eastAsia="Tibetan Machine Uni" w:hAnsi="Tibetan Machine Uni" w:cs="Tibetan Machine Uni"/>
              </w:rPr>
              <w:t>64,2</w:t>
            </w:r>
          </w:p>
        </w:tc>
      </w:tr>
      <w:tr w:rsidR="000C50BE">
        <w:tc>
          <w:tcPr>
            <w:tcW w:w="372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rPr>
                <w:color w:val="000000"/>
                <w:highlight w:val="white"/>
              </w:rPr>
            </w:pPr>
            <w:r>
              <w:rPr>
                <w:rFonts w:ascii="Times New Roman" w:eastAsia="Times New Roman" w:hAnsi="Times New Roman"/>
                <w:color w:val="000000" w:themeColor="text1"/>
                <w:sz w:val="24"/>
                <w:highlight w:val="white"/>
              </w:rPr>
              <w:t>Валовый сбор овощей открытого грунта в сельскохозяйственных организациях и крестьянских (фермерских) хозяйствах, включая индивидуальных предпринимателей, тонн</w:t>
            </w:r>
          </w:p>
        </w:tc>
        <w:tc>
          <w:tcPr>
            <w:tcW w:w="190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rFonts w:ascii="Tibetan Machine Uni" w:eastAsia="Tibetan Machine Uni" w:hAnsi="Tibetan Machine Uni" w:cs="Tibetan Machine Uni"/>
                <w:color w:val="000000"/>
                <w:highlight w:val="white"/>
              </w:rPr>
            </w:pPr>
            <w:r>
              <w:rPr>
                <w:rFonts w:ascii="Tibetan Machine Uni" w:eastAsia="Tibetan Machine Uni" w:hAnsi="Tibetan Machine Uni" w:cs="Tibetan Machine Uni"/>
                <w:color w:val="000000" w:themeColor="text1"/>
                <w:highlight w:val="white"/>
              </w:rPr>
              <w:t>308</w:t>
            </w:r>
          </w:p>
        </w:tc>
        <w:tc>
          <w:tcPr>
            <w:tcW w:w="192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rFonts w:ascii="Tibetan Machine Uni" w:eastAsia="Tibetan Machine Uni" w:hAnsi="Tibetan Machine Uni" w:cs="Tibetan Machine Uni"/>
                <w:color w:val="000000"/>
                <w:highlight w:val="white"/>
              </w:rPr>
            </w:pPr>
            <w:r>
              <w:rPr>
                <w:rFonts w:ascii="Tibetan Machine Uni" w:eastAsia="Tibetan Machine Uni" w:hAnsi="Tibetan Machine Uni" w:cs="Tibetan Machine Uni"/>
                <w:color w:val="000000" w:themeColor="text1"/>
              </w:rPr>
              <w:t>220,0</w:t>
            </w:r>
          </w:p>
        </w:tc>
        <w:tc>
          <w:tcPr>
            <w:tcW w:w="1800"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jc w:val="center"/>
              <w:rPr>
                <w:rFonts w:ascii="Tibetan Machine Uni" w:eastAsia="Tibetan Machine Uni" w:hAnsi="Tibetan Machine Uni" w:cs="Tibetan Machine Uni"/>
                <w:color w:val="000000"/>
                <w:highlight w:val="white"/>
              </w:rPr>
            </w:pPr>
            <w:r>
              <w:rPr>
                <w:rFonts w:ascii="Tibetan Machine Uni" w:eastAsia="Tibetan Machine Uni" w:hAnsi="Tibetan Machine Uni" w:cs="Tibetan Machine Uni"/>
                <w:color w:val="000000" w:themeColor="text1"/>
              </w:rPr>
              <w:t>71,4</w:t>
            </w:r>
          </w:p>
        </w:tc>
      </w:tr>
    </w:tbl>
    <w:p w:rsidR="000C50BE" w:rsidRDefault="000C50BE">
      <w:pPr>
        <w:pBdr>
          <w:top w:val="none" w:sz="4" w:space="0" w:color="000000"/>
          <w:left w:val="none" w:sz="4" w:space="0" w:color="000000"/>
          <w:bottom w:val="none" w:sz="4" w:space="0" w:color="000000"/>
          <w:right w:val="none" w:sz="4" w:space="0" w:color="000000"/>
        </w:pBdr>
        <w:spacing w:after="0"/>
        <w:ind w:firstLine="708"/>
        <w:jc w:val="both"/>
        <w:rPr>
          <w:highlight w:val="yellow"/>
        </w:rPr>
      </w:pPr>
    </w:p>
    <w:p w:rsidR="000C50BE" w:rsidRDefault="003D201F">
      <w:pPr>
        <w:pBdr>
          <w:top w:val="none" w:sz="4" w:space="0" w:color="000000"/>
          <w:left w:val="none" w:sz="4" w:space="0" w:color="000000"/>
          <w:bottom w:val="none" w:sz="4" w:space="0" w:color="000000"/>
          <w:right w:val="none" w:sz="4" w:space="0" w:color="000000"/>
        </w:pBdr>
        <w:spacing w:after="0"/>
        <w:ind w:firstLine="708"/>
        <w:jc w:val="both"/>
        <w:rPr>
          <w:rFonts w:ascii="Times New Roman" w:eastAsia="Arial" w:hAnsi="Times New Roman"/>
          <w:i/>
          <w:sz w:val="24"/>
          <w:szCs w:val="24"/>
          <w:lang w:eastAsia="ar-SA"/>
        </w:rPr>
      </w:pPr>
      <w:r>
        <w:rPr>
          <w:rFonts w:ascii="Times New Roman" w:eastAsia="Arial" w:hAnsi="Times New Roman"/>
          <w:i/>
          <w:iCs/>
          <w:sz w:val="24"/>
          <w:szCs w:val="24"/>
          <w:lang w:eastAsia="ar-SA"/>
        </w:rPr>
        <w:t>Животноводство</w:t>
      </w:r>
    </w:p>
    <w:p w:rsidR="000C50BE" w:rsidRDefault="003D201F">
      <w:pPr>
        <w:shd w:val="clear" w:color="auto" w:fill="FFFFFF"/>
        <w:tabs>
          <w:tab w:val="left" w:pos="660"/>
          <w:tab w:val="left" w:pos="1290"/>
        </w:tabs>
        <w:spacing w:after="0" w:line="240" w:lineRule="auto"/>
        <w:ind w:firstLine="709"/>
        <w:jc w:val="both"/>
        <w:rPr>
          <w:highlight w:val="green"/>
        </w:rPr>
      </w:pPr>
      <w:r>
        <w:rPr>
          <w:rFonts w:ascii="Times New Roman" w:eastAsia="Times New Roman" w:hAnsi="Times New Roman"/>
          <w:sz w:val="24"/>
          <w:szCs w:val="24"/>
          <w:lang w:eastAsia="ar-SA"/>
        </w:rPr>
        <w:t>Поголовье скота в хозяйствах всех категорий на 01.01.2022</w:t>
      </w:r>
      <w:r>
        <w:t xml:space="preserve"> г. составило: </w:t>
      </w:r>
    </w:p>
    <w:tbl>
      <w:tblPr>
        <w:tblW w:w="9496" w:type="dxa"/>
        <w:jc w:val="center"/>
        <w:tblLayout w:type="fixed"/>
        <w:tblLook w:val="04A0" w:firstRow="1" w:lastRow="0" w:firstColumn="1" w:lastColumn="0" w:noHBand="0" w:noVBand="1"/>
      </w:tblPr>
      <w:tblGrid>
        <w:gridCol w:w="3938"/>
        <w:gridCol w:w="2033"/>
        <w:gridCol w:w="1701"/>
        <w:gridCol w:w="1824"/>
      </w:tblGrid>
      <w:tr w:rsidR="000C50BE">
        <w:trPr>
          <w:trHeight w:val="631"/>
          <w:jc w:val="center"/>
        </w:trPr>
        <w:tc>
          <w:tcPr>
            <w:tcW w:w="3938" w:type="dxa"/>
            <w:tcBorders>
              <w:top w:val="single" w:sz="4" w:space="0" w:color="000000"/>
              <w:left w:val="single" w:sz="4" w:space="0" w:color="000000"/>
              <w:bottom w:val="single" w:sz="4" w:space="0" w:color="000000"/>
            </w:tcBorders>
            <w:vAlign w:val="center"/>
          </w:tcPr>
          <w:p w:rsidR="000C50BE" w:rsidRDefault="003D201F">
            <w:pPr>
              <w:spacing w:after="0" w:line="240" w:lineRule="auto"/>
              <w:ind w:firstLine="24"/>
              <w:jc w:val="center"/>
              <w:rPr>
                <w:rFonts w:ascii="Times New Roman" w:eastAsia="Arial" w:hAnsi="Times New Roman"/>
                <w:sz w:val="24"/>
                <w:szCs w:val="24"/>
                <w:lang w:eastAsia="ar-SA"/>
              </w:rPr>
            </w:pPr>
            <w:r>
              <w:rPr>
                <w:rFonts w:ascii="Times New Roman" w:eastAsia="Arial" w:hAnsi="Times New Roman"/>
                <w:sz w:val="24"/>
                <w:szCs w:val="24"/>
                <w:lang w:eastAsia="ar-SA"/>
              </w:rPr>
              <w:t>Поголовье</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pPr>
            <w:r>
              <w:rPr>
                <w:rFonts w:ascii="Times New Roman" w:eastAsia="Times New Roman" w:hAnsi="Times New Roman"/>
                <w:sz w:val="24"/>
                <w:szCs w:val="24"/>
                <w:lang w:eastAsia="ar-SA"/>
              </w:rPr>
              <w:t>на 01.01.2021 г.</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pPr>
            <w:r>
              <w:rPr>
                <w:rFonts w:ascii="Times New Roman" w:eastAsia="Times New Roman" w:hAnsi="Times New Roman"/>
                <w:sz w:val="24"/>
                <w:szCs w:val="24"/>
                <w:lang w:eastAsia="ar-SA"/>
              </w:rPr>
              <w:t>на 01.01.2022 г.</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Темп роста, %</w:t>
            </w:r>
          </w:p>
        </w:tc>
      </w:tr>
      <w:tr w:rsidR="000C50BE">
        <w:trPr>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eastAsia="Arial" w:hAnsi="Times New Roman"/>
                <w:sz w:val="24"/>
                <w:szCs w:val="24"/>
                <w:lang w:eastAsia="ar-SA"/>
              </w:rPr>
            </w:pPr>
            <w:r>
              <w:rPr>
                <w:rFonts w:ascii="Times New Roman" w:eastAsia="Arial" w:hAnsi="Times New Roman"/>
                <w:sz w:val="24"/>
                <w:szCs w:val="24"/>
                <w:lang w:eastAsia="ar-SA"/>
              </w:rPr>
              <w:t>Крупный рогатый скот,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3900</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3822</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98,0</w:t>
            </w:r>
          </w:p>
        </w:tc>
      </w:tr>
      <w:tr w:rsidR="000C50BE">
        <w:trPr>
          <w:trHeight w:val="296"/>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hAnsi="Times New Roman"/>
                <w:sz w:val="24"/>
                <w:szCs w:val="24"/>
                <w:lang w:eastAsia="ar-SA"/>
              </w:rPr>
            </w:pPr>
            <w:r>
              <w:rPr>
                <w:rFonts w:ascii="Times New Roman" w:eastAsia="Times New Roman" w:hAnsi="Times New Roman"/>
                <w:sz w:val="24"/>
                <w:szCs w:val="24"/>
                <w:lang w:eastAsia="ar-SA"/>
              </w:rPr>
              <w:t xml:space="preserve">  </w:t>
            </w:r>
            <w:r>
              <w:rPr>
                <w:rFonts w:ascii="Times New Roman" w:eastAsia="Arial" w:hAnsi="Times New Roman"/>
                <w:sz w:val="24"/>
                <w:szCs w:val="24"/>
                <w:lang w:eastAsia="ar-SA"/>
              </w:rPr>
              <w:t>в т. ч. коров,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1906</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1710</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89,7</w:t>
            </w:r>
          </w:p>
        </w:tc>
      </w:tr>
      <w:tr w:rsidR="000C50BE">
        <w:trPr>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hAnsi="Times New Roman"/>
                <w:sz w:val="24"/>
                <w:szCs w:val="24"/>
                <w:lang w:eastAsia="ar-SA"/>
              </w:rPr>
            </w:pPr>
            <w:r>
              <w:rPr>
                <w:rFonts w:ascii="Times New Roman" w:eastAsia="Times New Roman" w:hAnsi="Times New Roman"/>
                <w:sz w:val="24"/>
                <w:szCs w:val="24"/>
                <w:lang w:eastAsia="ar-SA"/>
              </w:rPr>
              <w:t xml:space="preserve">         </w:t>
            </w:r>
            <w:r>
              <w:rPr>
                <w:rFonts w:ascii="Times New Roman" w:eastAsia="Arial" w:hAnsi="Times New Roman"/>
                <w:sz w:val="24"/>
                <w:szCs w:val="24"/>
                <w:lang w:eastAsia="ar-SA"/>
              </w:rPr>
              <w:t>из них:</w:t>
            </w:r>
          </w:p>
          <w:p w:rsidR="000C50BE" w:rsidRDefault="003D201F">
            <w:pPr>
              <w:spacing w:after="0" w:line="240" w:lineRule="auto"/>
              <w:ind w:firstLine="24"/>
              <w:rPr>
                <w:rFonts w:ascii="Times New Roman" w:hAnsi="Times New Roman"/>
                <w:sz w:val="24"/>
                <w:szCs w:val="24"/>
                <w:lang w:eastAsia="ar-SA"/>
              </w:rPr>
            </w:pPr>
            <w:r>
              <w:rPr>
                <w:rFonts w:ascii="Times New Roman" w:eastAsia="Times New Roman" w:hAnsi="Times New Roman"/>
                <w:sz w:val="24"/>
                <w:szCs w:val="24"/>
                <w:lang w:eastAsia="ar-SA"/>
              </w:rPr>
              <w:t xml:space="preserve">     </w:t>
            </w:r>
            <w:r>
              <w:rPr>
                <w:rFonts w:ascii="Times New Roman" w:eastAsia="Arial" w:hAnsi="Times New Roman"/>
                <w:sz w:val="24"/>
                <w:szCs w:val="24"/>
                <w:lang w:eastAsia="ar-SA"/>
              </w:rPr>
              <w:t>молочного направления,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betan Machine Uni" w:eastAsia="Tibetan Machine Uni" w:hAnsi="Tibetan Machine Uni" w:cs="Tibetan Machine Uni"/>
                <w:color w:val="0D0D0D"/>
                <w:sz w:val="24"/>
                <w:szCs w:val="24"/>
                <w:highlight w:val="white"/>
              </w:rPr>
            </w:pPr>
            <w:r>
              <w:rPr>
                <w:rFonts w:ascii="Tibetan Machine Uni" w:eastAsia="Tibetan Machine Uni" w:hAnsi="Tibetan Machine Uni" w:cs="Tibetan Machine Uni"/>
                <w:color w:val="0D0D0D" w:themeColor="text1" w:themeTint="F2"/>
                <w:highlight w:val="white"/>
              </w:rPr>
              <w:t>8</w:t>
            </w:r>
            <w:r>
              <w:rPr>
                <w:rFonts w:ascii="Tibetan Machine Uni" w:eastAsia="Tibetan Machine Uni" w:hAnsi="Tibetan Machine Uni" w:cs="Tibetan Machine Uni"/>
                <w:color w:val="0D0D0D" w:themeColor="text1" w:themeTint="F2"/>
              </w:rPr>
              <w:t>68</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D0D0D"/>
                <w:sz w:val="24"/>
                <w:szCs w:val="24"/>
                <w:highlight w:val="white"/>
              </w:rPr>
            </w:pPr>
            <w:r>
              <w:rPr>
                <w:rFonts w:ascii="Times New Roman" w:eastAsia="Arial" w:hAnsi="Times New Roman"/>
                <w:color w:val="0D0D0D" w:themeColor="text1" w:themeTint="F2"/>
                <w:sz w:val="24"/>
                <w:szCs w:val="24"/>
                <w:highlight w:val="white"/>
                <w:lang w:eastAsia="ar-SA"/>
              </w:rPr>
              <w:t>929</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D0D0D"/>
                <w:sz w:val="24"/>
                <w:szCs w:val="24"/>
                <w:highlight w:val="white"/>
              </w:rPr>
            </w:pPr>
            <w:r>
              <w:rPr>
                <w:rFonts w:ascii="Times New Roman" w:eastAsia="Arial" w:hAnsi="Times New Roman"/>
                <w:color w:val="0D0D0D" w:themeColor="text1" w:themeTint="F2"/>
                <w:sz w:val="24"/>
                <w:szCs w:val="24"/>
                <w:highlight w:val="white"/>
                <w:lang w:eastAsia="ar-SA"/>
              </w:rPr>
              <w:t>107,0</w:t>
            </w:r>
          </w:p>
        </w:tc>
      </w:tr>
      <w:tr w:rsidR="000C50BE">
        <w:trPr>
          <w:trHeight w:val="278"/>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eastAsia="Arial" w:hAnsi="Times New Roman"/>
                <w:sz w:val="24"/>
                <w:szCs w:val="24"/>
                <w:lang w:eastAsia="ar-SA"/>
              </w:rPr>
            </w:pPr>
            <w:r>
              <w:rPr>
                <w:rFonts w:ascii="Times New Roman" w:eastAsia="Arial" w:hAnsi="Times New Roman"/>
                <w:sz w:val="24"/>
                <w:szCs w:val="24"/>
                <w:lang w:eastAsia="ar-SA"/>
              </w:rPr>
              <w:t>Овцы и козы,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1064</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1108</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104,1</w:t>
            </w:r>
          </w:p>
        </w:tc>
      </w:tr>
      <w:tr w:rsidR="000C50BE">
        <w:trPr>
          <w:trHeight w:val="77"/>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eastAsia="Arial" w:hAnsi="Times New Roman"/>
                <w:sz w:val="24"/>
                <w:szCs w:val="24"/>
                <w:lang w:eastAsia="ar-SA"/>
              </w:rPr>
            </w:pPr>
            <w:r>
              <w:rPr>
                <w:rFonts w:ascii="Times New Roman" w:eastAsia="Arial" w:hAnsi="Times New Roman"/>
                <w:sz w:val="24"/>
                <w:szCs w:val="24"/>
                <w:lang w:eastAsia="ar-SA"/>
              </w:rPr>
              <w:t>Лошади,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1828</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1768</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96,7</w:t>
            </w:r>
          </w:p>
        </w:tc>
      </w:tr>
      <w:tr w:rsidR="000C50BE">
        <w:trPr>
          <w:trHeight w:val="273"/>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eastAsia="Arial" w:hAnsi="Times New Roman"/>
                <w:sz w:val="24"/>
                <w:szCs w:val="24"/>
                <w:lang w:eastAsia="ar-SA"/>
              </w:rPr>
            </w:pPr>
            <w:r>
              <w:rPr>
                <w:rFonts w:ascii="Times New Roman" w:eastAsia="Arial" w:hAnsi="Times New Roman"/>
                <w:sz w:val="24"/>
                <w:szCs w:val="24"/>
                <w:lang w:eastAsia="ar-SA"/>
              </w:rPr>
              <w:t>Свиньи,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301</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298</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99,0</w:t>
            </w:r>
          </w:p>
        </w:tc>
      </w:tr>
      <w:tr w:rsidR="000C50BE">
        <w:trPr>
          <w:trHeight w:val="127"/>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eastAsia="Arial" w:hAnsi="Times New Roman"/>
                <w:sz w:val="24"/>
                <w:szCs w:val="24"/>
                <w:lang w:eastAsia="ar-SA"/>
              </w:rPr>
            </w:pPr>
            <w:r>
              <w:rPr>
                <w:rFonts w:ascii="Times New Roman" w:eastAsia="Arial" w:hAnsi="Times New Roman"/>
                <w:sz w:val="24"/>
                <w:szCs w:val="24"/>
                <w:lang w:eastAsia="ar-SA"/>
              </w:rPr>
              <w:t>Олени-маралы,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2660</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2082</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78,3</w:t>
            </w:r>
          </w:p>
        </w:tc>
      </w:tr>
      <w:tr w:rsidR="000C50BE">
        <w:trPr>
          <w:trHeight w:val="77"/>
          <w:jc w:val="center"/>
        </w:trPr>
        <w:tc>
          <w:tcPr>
            <w:tcW w:w="3938" w:type="dxa"/>
            <w:tcBorders>
              <w:top w:val="single" w:sz="4" w:space="0" w:color="000000"/>
              <w:left w:val="single" w:sz="4" w:space="0" w:color="000000"/>
              <w:bottom w:val="single" w:sz="4" w:space="0" w:color="000000"/>
            </w:tcBorders>
          </w:tcPr>
          <w:p w:rsidR="000C50BE" w:rsidRDefault="003D201F">
            <w:pPr>
              <w:spacing w:after="0" w:line="240" w:lineRule="auto"/>
              <w:ind w:firstLine="24"/>
              <w:rPr>
                <w:rFonts w:ascii="Times New Roman" w:eastAsia="Arial" w:hAnsi="Times New Roman"/>
                <w:sz w:val="24"/>
                <w:szCs w:val="24"/>
                <w:lang w:eastAsia="ar-SA"/>
              </w:rPr>
            </w:pPr>
            <w:r>
              <w:rPr>
                <w:rFonts w:ascii="Times New Roman" w:eastAsia="Arial" w:hAnsi="Times New Roman"/>
                <w:sz w:val="24"/>
                <w:szCs w:val="24"/>
                <w:lang w:eastAsia="ar-SA"/>
              </w:rPr>
              <w:t>Птица, гол.</w:t>
            </w:r>
          </w:p>
        </w:tc>
        <w:tc>
          <w:tcPr>
            <w:tcW w:w="2033"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9935</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9770</w:t>
            </w:r>
          </w:p>
        </w:tc>
        <w:tc>
          <w:tcPr>
            <w:tcW w:w="1824"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24"/>
              <w:jc w:val="center"/>
              <w:rPr>
                <w:rFonts w:ascii="Times New Roman" w:eastAsia="Arial" w:hAnsi="Times New Roman"/>
                <w:color w:val="000000"/>
                <w:sz w:val="24"/>
                <w:szCs w:val="24"/>
              </w:rPr>
            </w:pPr>
            <w:r>
              <w:rPr>
                <w:rFonts w:ascii="Times New Roman" w:eastAsia="Arial" w:hAnsi="Times New Roman"/>
                <w:color w:val="000000" w:themeColor="text1"/>
                <w:sz w:val="24"/>
                <w:szCs w:val="24"/>
                <w:lang w:eastAsia="ar-SA"/>
              </w:rPr>
              <w:t>98,3</w:t>
            </w:r>
          </w:p>
        </w:tc>
      </w:tr>
    </w:tbl>
    <w:p w:rsidR="000C50BE" w:rsidRDefault="000C50BE">
      <w:pPr>
        <w:spacing w:after="0" w:line="240" w:lineRule="auto"/>
        <w:ind w:firstLine="709"/>
        <w:jc w:val="both"/>
        <w:rPr>
          <w:rFonts w:ascii="Times New Roman" w:eastAsia="Arial" w:hAnsi="Times New Roman"/>
          <w:sz w:val="24"/>
          <w:szCs w:val="24"/>
          <w:lang w:eastAsia="ar-SA"/>
        </w:rPr>
      </w:pPr>
    </w:p>
    <w:p w:rsidR="000C50BE" w:rsidRDefault="003D201F">
      <w:pPr>
        <w:spacing w:after="0" w:line="240" w:lineRule="auto"/>
        <w:ind w:firstLine="709"/>
        <w:jc w:val="both"/>
      </w:pPr>
      <w:r>
        <w:rPr>
          <w:rFonts w:ascii="Times New Roman" w:eastAsia="Arial" w:hAnsi="Times New Roman"/>
          <w:sz w:val="24"/>
          <w:szCs w:val="24"/>
          <w:lang w:eastAsia="ar-SA"/>
        </w:rPr>
        <w:t>На 01.01.2022 г. в хозяйствах всех категорий:</w:t>
      </w:r>
    </w:p>
    <w:p w:rsidR="000C50BE" w:rsidRDefault="003D201F">
      <w:pPr>
        <w:spacing w:after="0" w:line="240" w:lineRule="auto"/>
        <w:ind w:firstLine="709"/>
        <w:jc w:val="both"/>
      </w:pPr>
      <w:r>
        <w:rPr>
          <w:rFonts w:ascii="Times New Roman" w:eastAsia="Arial" w:hAnsi="Times New Roman"/>
          <w:sz w:val="24"/>
          <w:szCs w:val="24"/>
          <w:u w:val="single"/>
          <w:lang w:eastAsia="ar-SA"/>
        </w:rPr>
        <w:t>поголовье КРС</w:t>
      </w:r>
      <w:r>
        <w:rPr>
          <w:rFonts w:ascii="Times New Roman" w:eastAsia="Arial" w:hAnsi="Times New Roman"/>
          <w:sz w:val="24"/>
          <w:szCs w:val="24"/>
          <w:lang w:eastAsia="ar-SA"/>
        </w:rPr>
        <w:t xml:space="preserve"> снизилось на 2 % к аналогичному периоду прошлого года за счет снижения поголовья в сельскохозяйственных организациях. Средний вес одной головы КРС в сельскохозяйственных организациях составил 400 кг.; </w:t>
      </w:r>
    </w:p>
    <w:p w:rsidR="000C50BE" w:rsidRDefault="003D201F">
      <w:pPr>
        <w:spacing w:after="0" w:line="240" w:lineRule="auto"/>
        <w:ind w:firstLine="709"/>
        <w:jc w:val="both"/>
      </w:pPr>
      <w:r>
        <w:rPr>
          <w:rFonts w:ascii="Times New Roman" w:eastAsia="Arial" w:hAnsi="Times New Roman"/>
          <w:sz w:val="24"/>
          <w:szCs w:val="24"/>
          <w:u w:val="single"/>
          <w:lang w:eastAsia="ar-SA"/>
        </w:rPr>
        <w:t>поголовье овец и коз</w:t>
      </w:r>
      <w:r>
        <w:rPr>
          <w:rFonts w:ascii="Times New Roman" w:eastAsia="Arial" w:hAnsi="Times New Roman"/>
          <w:sz w:val="24"/>
          <w:szCs w:val="24"/>
          <w:lang w:eastAsia="ar-SA"/>
        </w:rPr>
        <w:t xml:space="preserve"> </w:t>
      </w:r>
      <w:r>
        <w:rPr>
          <w:rFonts w:ascii="Times New Roman" w:eastAsia="Arial" w:hAnsi="Times New Roman"/>
          <w:i/>
          <w:sz w:val="24"/>
          <w:szCs w:val="24"/>
          <w:lang w:eastAsia="ar-SA"/>
        </w:rPr>
        <w:t>увеличилось</w:t>
      </w:r>
      <w:r>
        <w:rPr>
          <w:rFonts w:ascii="Times New Roman" w:eastAsia="Arial" w:hAnsi="Times New Roman"/>
          <w:sz w:val="24"/>
          <w:szCs w:val="24"/>
          <w:lang w:eastAsia="ar-SA"/>
        </w:rPr>
        <w:t xml:space="preserve"> на 4,1 % к аналогичному периоду прошлого года за счет увеличения поголовья в хозяйствах населения и сельскохозяйственных организациях;</w:t>
      </w:r>
    </w:p>
    <w:p w:rsidR="000C50BE" w:rsidRDefault="003D201F">
      <w:pPr>
        <w:spacing w:after="0" w:line="240" w:lineRule="auto"/>
        <w:ind w:firstLine="709"/>
        <w:jc w:val="both"/>
      </w:pPr>
      <w:r>
        <w:rPr>
          <w:rFonts w:ascii="Times New Roman" w:eastAsia="Arial" w:hAnsi="Times New Roman"/>
          <w:sz w:val="24"/>
          <w:szCs w:val="24"/>
          <w:u w:val="single"/>
          <w:lang w:eastAsia="ar-SA"/>
        </w:rPr>
        <w:t>поголовье лошадей</w:t>
      </w:r>
      <w:r>
        <w:rPr>
          <w:rFonts w:ascii="Times New Roman" w:eastAsia="Arial" w:hAnsi="Times New Roman"/>
          <w:i/>
          <w:sz w:val="24"/>
          <w:szCs w:val="24"/>
          <w:lang w:eastAsia="ar-SA"/>
        </w:rPr>
        <w:t xml:space="preserve"> уменьшилось</w:t>
      </w:r>
      <w:r>
        <w:rPr>
          <w:rFonts w:ascii="Times New Roman" w:eastAsia="Arial" w:hAnsi="Times New Roman"/>
          <w:sz w:val="24"/>
          <w:szCs w:val="24"/>
          <w:lang w:eastAsia="ar-SA"/>
        </w:rPr>
        <w:t xml:space="preserve"> на 3,3 % к аналогичному периоду прошлого года за счет уменьшения голов в хозяйствах населения. Средний вес одной головы лошади в сельскохозяйственных организациях составил 400-600 кг;</w:t>
      </w:r>
    </w:p>
    <w:p w:rsidR="000C50BE" w:rsidRDefault="003D201F">
      <w:pPr>
        <w:spacing w:after="0" w:line="240" w:lineRule="auto"/>
        <w:ind w:firstLine="709"/>
        <w:jc w:val="both"/>
        <w:rPr>
          <w:rFonts w:ascii="Times New Roman" w:eastAsia="Arial" w:hAnsi="Times New Roman"/>
          <w:sz w:val="24"/>
          <w:szCs w:val="24"/>
          <w:lang w:eastAsia="ar-SA"/>
        </w:rPr>
      </w:pPr>
      <w:r>
        <w:rPr>
          <w:rFonts w:ascii="Times New Roman" w:eastAsia="Arial" w:hAnsi="Times New Roman"/>
          <w:sz w:val="24"/>
          <w:szCs w:val="24"/>
          <w:u w:val="single"/>
          <w:lang w:eastAsia="ar-SA"/>
        </w:rPr>
        <w:t xml:space="preserve">поголовье свиней </w:t>
      </w:r>
      <w:r>
        <w:rPr>
          <w:rFonts w:ascii="Times New Roman" w:eastAsia="Arial" w:hAnsi="Times New Roman"/>
          <w:i/>
          <w:sz w:val="24"/>
          <w:szCs w:val="24"/>
          <w:lang w:eastAsia="ar-SA"/>
        </w:rPr>
        <w:t>уменьшилось</w:t>
      </w:r>
      <w:r>
        <w:rPr>
          <w:rFonts w:ascii="Times New Roman" w:eastAsia="Arial" w:hAnsi="Times New Roman"/>
          <w:sz w:val="24"/>
          <w:szCs w:val="24"/>
          <w:lang w:eastAsia="ar-SA"/>
        </w:rPr>
        <w:t xml:space="preserve"> на 1,0 % к аналогичному периоду прошлого года за счет уменьшения поголовья в хозяйствах населения;</w:t>
      </w:r>
    </w:p>
    <w:p w:rsidR="000C50BE" w:rsidRDefault="003D201F">
      <w:pPr>
        <w:spacing w:after="0" w:line="240" w:lineRule="auto"/>
        <w:ind w:firstLine="709"/>
        <w:jc w:val="both"/>
      </w:pPr>
      <w:r>
        <w:rPr>
          <w:rFonts w:ascii="Times New Roman" w:eastAsia="Arial" w:hAnsi="Times New Roman"/>
          <w:sz w:val="24"/>
          <w:szCs w:val="24"/>
          <w:u w:val="single"/>
          <w:lang w:eastAsia="ar-SA"/>
        </w:rPr>
        <w:t>количество птиц</w:t>
      </w:r>
      <w:r>
        <w:rPr>
          <w:rFonts w:ascii="Times New Roman" w:eastAsia="Arial" w:hAnsi="Times New Roman"/>
          <w:sz w:val="24"/>
          <w:szCs w:val="24"/>
          <w:lang w:eastAsia="ar-SA"/>
        </w:rPr>
        <w:t xml:space="preserve"> </w:t>
      </w:r>
      <w:r>
        <w:rPr>
          <w:rFonts w:ascii="Times New Roman" w:eastAsia="Arial" w:hAnsi="Times New Roman"/>
          <w:i/>
          <w:sz w:val="24"/>
          <w:szCs w:val="24"/>
          <w:lang w:eastAsia="ar-SA"/>
        </w:rPr>
        <w:t>уменьшилось</w:t>
      </w:r>
      <w:r>
        <w:rPr>
          <w:rFonts w:ascii="Times New Roman" w:eastAsia="Arial" w:hAnsi="Times New Roman"/>
          <w:sz w:val="24"/>
          <w:szCs w:val="24"/>
          <w:lang w:eastAsia="ar-SA"/>
        </w:rPr>
        <w:t xml:space="preserve"> на 1,7 % к аналогичному периоду прошлого года за счет уменьшения голов в ЛПХ.</w:t>
      </w:r>
    </w:p>
    <w:p w:rsidR="000C50BE" w:rsidRDefault="003D201F">
      <w:pPr>
        <w:shd w:val="clear" w:color="auto" w:fill="FFFFFF"/>
        <w:tabs>
          <w:tab w:val="left" w:pos="660"/>
          <w:tab w:val="left" w:pos="1290"/>
        </w:tabs>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Производство продуктов животноводства в хозяйствах всех категорий на 01.01.2022</w:t>
      </w:r>
      <w:r>
        <w:t xml:space="preserve"> </w:t>
      </w:r>
      <w:r>
        <w:rPr>
          <w:rFonts w:ascii="Times New Roman" w:eastAsia="Times New Roman" w:hAnsi="Times New Roman"/>
          <w:sz w:val="24"/>
          <w:lang w:eastAsia="ar-SA"/>
        </w:rPr>
        <w:t>г. составило:</w:t>
      </w:r>
    </w:p>
    <w:tbl>
      <w:tblPr>
        <w:tblW w:w="9507" w:type="dxa"/>
        <w:tblInd w:w="-5" w:type="dxa"/>
        <w:tblLayout w:type="fixed"/>
        <w:tblLook w:val="04A0" w:firstRow="1" w:lastRow="0" w:firstColumn="1" w:lastColumn="0" w:noHBand="0" w:noVBand="1"/>
      </w:tblPr>
      <w:tblGrid>
        <w:gridCol w:w="3969"/>
        <w:gridCol w:w="1985"/>
        <w:gridCol w:w="1984"/>
        <w:gridCol w:w="1569"/>
      </w:tblGrid>
      <w:tr w:rsidR="000C50BE">
        <w:tc>
          <w:tcPr>
            <w:tcW w:w="3969"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Наименование продукции</w:t>
            </w:r>
          </w:p>
        </w:tc>
        <w:tc>
          <w:tcPr>
            <w:tcW w:w="1985"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pPr>
            <w:r>
              <w:rPr>
                <w:rFonts w:ascii="Times New Roman" w:eastAsia="Times New Roman" w:hAnsi="Times New Roman"/>
                <w:sz w:val="24"/>
                <w:szCs w:val="24"/>
                <w:lang w:eastAsia="ar-SA"/>
              </w:rPr>
              <w:t>на 01.01.2021 г.</w:t>
            </w:r>
          </w:p>
        </w:tc>
        <w:tc>
          <w:tcPr>
            <w:tcW w:w="1984"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pPr>
            <w:r>
              <w:rPr>
                <w:rFonts w:ascii="Times New Roman" w:eastAsia="Times New Roman" w:hAnsi="Times New Roman"/>
                <w:sz w:val="24"/>
                <w:szCs w:val="24"/>
                <w:lang w:eastAsia="ar-SA"/>
              </w:rPr>
              <w:t>на 01.01.2022 г.</w:t>
            </w:r>
          </w:p>
        </w:tc>
        <w:tc>
          <w:tcPr>
            <w:tcW w:w="1569"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Темп роста, %</w:t>
            </w:r>
          </w:p>
        </w:tc>
      </w:tr>
      <w:tr w:rsidR="000C50BE">
        <w:tc>
          <w:tcPr>
            <w:tcW w:w="3969" w:type="dxa"/>
            <w:tcBorders>
              <w:top w:val="single" w:sz="4" w:space="0" w:color="000000"/>
              <w:left w:val="single" w:sz="4" w:space="0" w:color="000000"/>
              <w:bottom w:val="single" w:sz="4" w:space="0" w:color="000000"/>
            </w:tcBorders>
          </w:tcPr>
          <w:p w:rsidR="000C50BE" w:rsidRDefault="003D201F">
            <w:pPr>
              <w:spacing w:after="0" w:line="240" w:lineRule="auto"/>
              <w:ind w:firstLine="34"/>
              <w:rPr>
                <w:rFonts w:ascii="Times New Roman" w:eastAsia="Arial" w:hAnsi="Times New Roman"/>
                <w:sz w:val="24"/>
                <w:szCs w:val="24"/>
                <w:lang w:eastAsia="ar-SA"/>
              </w:rPr>
            </w:pPr>
            <w:r>
              <w:rPr>
                <w:rFonts w:ascii="Times New Roman" w:eastAsia="Arial" w:hAnsi="Times New Roman"/>
                <w:sz w:val="24"/>
                <w:szCs w:val="24"/>
                <w:lang w:eastAsia="ar-SA"/>
              </w:rPr>
              <w:t>Скот и птица на убой в живом весе, тонн</w:t>
            </w:r>
          </w:p>
        </w:tc>
        <w:tc>
          <w:tcPr>
            <w:tcW w:w="1985"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837,3</w:t>
            </w:r>
          </w:p>
        </w:tc>
        <w:tc>
          <w:tcPr>
            <w:tcW w:w="1984"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728,9</w:t>
            </w:r>
          </w:p>
        </w:tc>
        <w:tc>
          <w:tcPr>
            <w:tcW w:w="1569"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87,1</w:t>
            </w:r>
          </w:p>
        </w:tc>
      </w:tr>
      <w:tr w:rsidR="000C50BE">
        <w:tc>
          <w:tcPr>
            <w:tcW w:w="3969" w:type="dxa"/>
            <w:tcBorders>
              <w:top w:val="single" w:sz="4" w:space="0" w:color="000000"/>
              <w:left w:val="single" w:sz="4" w:space="0" w:color="000000"/>
              <w:bottom w:val="single" w:sz="4" w:space="0" w:color="000000"/>
            </w:tcBorders>
          </w:tcPr>
          <w:p w:rsidR="000C50BE" w:rsidRDefault="003D201F">
            <w:pPr>
              <w:spacing w:after="0" w:line="240" w:lineRule="auto"/>
              <w:ind w:firstLine="34"/>
              <w:jc w:val="both"/>
              <w:rPr>
                <w:rFonts w:ascii="Times New Roman" w:eastAsia="Arial" w:hAnsi="Times New Roman"/>
                <w:sz w:val="24"/>
                <w:szCs w:val="24"/>
                <w:lang w:eastAsia="ar-SA"/>
              </w:rPr>
            </w:pPr>
            <w:r>
              <w:rPr>
                <w:rFonts w:ascii="Times New Roman" w:eastAsia="Arial" w:hAnsi="Times New Roman"/>
                <w:sz w:val="24"/>
                <w:szCs w:val="24"/>
                <w:lang w:eastAsia="ar-SA"/>
              </w:rPr>
              <w:t>Молоко, тонн</w:t>
            </w:r>
          </w:p>
        </w:tc>
        <w:tc>
          <w:tcPr>
            <w:tcW w:w="1985"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4705,6</w:t>
            </w:r>
          </w:p>
        </w:tc>
        <w:tc>
          <w:tcPr>
            <w:tcW w:w="1984"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4557,2</w:t>
            </w:r>
          </w:p>
        </w:tc>
        <w:tc>
          <w:tcPr>
            <w:tcW w:w="1569"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96,8</w:t>
            </w:r>
          </w:p>
        </w:tc>
      </w:tr>
      <w:tr w:rsidR="000C50BE">
        <w:tc>
          <w:tcPr>
            <w:tcW w:w="3969" w:type="dxa"/>
            <w:tcBorders>
              <w:top w:val="single" w:sz="4" w:space="0" w:color="000000"/>
              <w:left w:val="single" w:sz="4" w:space="0" w:color="000000"/>
              <w:bottom w:val="single" w:sz="4" w:space="0" w:color="000000"/>
            </w:tcBorders>
          </w:tcPr>
          <w:p w:rsidR="000C50BE" w:rsidRDefault="003D201F">
            <w:pPr>
              <w:spacing w:after="0" w:line="240" w:lineRule="auto"/>
              <w:ind w:firstLine="34"/>
              <w:rPr>
                <w:rFonts w:ascii="Times New Roman" w:hAnsi="Times New Roman"/>
                <w:sz w:val="24"/>
                <w:szCs w:val="24"/>
                <w:lang w:eastAsia="ar-SA"/>
              </w:rPr>
            </w:pPr>
            <w:r>
              <w:rPr>
                <w:rFonts w:ascii="Times New Roman" w:eastAsia="Times New Roman" w:hAnsi="Times New Roman"/>
                <w:sz w:val="24"/>
                <w:szCs w:val="24"/>
                <w:lang w:eastAsia="ar-SA"/>
              </w:rPr>
              <w:t xml:space="preserve">   </w:t>
            </w:r>
            <w:r>
              <w:rPr>
                <w:rFonts w:ascii="Times New Roman" w:eastAsia="Arial" w:hAnsi="Times New Roman"/>
                <w:sz w:val="24"/>
                <w:szCs w:val="24"/>
                <w:lang w:eastAsia="ar-SA"/>
              </w:rPr>
              <w:t>в т.ч. в сельскохозяйственных организациях и крестьянских (фермерских) хозяйствах, включая индивидуальных предпринимателей, тонн</w:t>
            </w:r>
          </w:p>
        </w:tc>
        <w:tc>
          <w:tcPr>
            <w:tcW w:w="1985" w:type="dxa"/>
            <w:tcBorders>
              <w:top w:val="single" w:sz="4" w:space="0" w:color="000000"/>
              <w:left w:val="single" w:sz="4" w:space="0" w:color="000000"/>
              <w:bottom w:val="single" w:sz="4" w:space="0" w:color="000000"/>
            </w:tcBorders>
          </w:tcPr>
          <w:p w:rsidR="000C50BE" w:rsidRDefault="000C50BE">
            <w:pPr>
              <w:spacing w:after="0" w:line="240" w:lineRule="auto"/>
              <w:ind w:firstLine="34"/>
              <w:jc w:val="center"/>
              <w:rPr>
                <w:rFonts w:ascii="Times New Roman" w:eastAsia="Arial" w:hAnsi="Times New Roman"/>
                <w:sz w:val="24"/>
                <w:szCs w:val="24"/>
                <w:lang w:eastAsia="ar-SA"/>
              </w:rPr>
            </w:pPr>
          </w:p>
          <w:p w:rsidR="000C50BE" w:rsidRDefault="000C50BE">
            <w:pPr>
              <w:spacing w:after="0" w:line="240" w:lineRule="auto"/>
              <w:ind w:firstLine="34"/>
              <w:jc w:val="center"/>
              <w:rPr>
                <w:rFonts w:ascii="Times New Roman" w:eastAsia="Times New Roman" w:hAnsi="Times New Roman"/>
                <w:color w:val="000000"/>
                <w:sz w:val="24"/>
                <w:szCs w:val="24"/>
              </w:rPr>
            </w:pPr>
          </w:p>
          <w:p w:rsidR="000C50BE" w:rsidRDefault="000C50BE">
            <w:pPr>
              <w:spacing w:after="0" w:line="240" w:lineRule="auto"/>
              <w:ind w:firstLine="34"/>
              <w:jc w:val="center"/>
              <w:rPr>
                <w:rFonts w:ascii="Times New Roman" w:eastAsia="Times New Roman" w:hAnsi="Times New Roman"/>
                <w:color w:val="000000"/>
                <w:sz w:val="24"/>
                <w:szCs w:val="24"/>
              </w:rPr>
            </w:pPr>
          </w:p>
          <w:p w:rsidR="000C50BE" w:rsidRDefault="003D201F">
            <w:pPr>
              <w:spacing w:after="0" w:line="240" w:lineRule="auto"/>
              <w:ind w:firstLine="34"/>
              <w:jc w:val="center"/>
              <w:rPr>
                <w:rFonts w:ascii="Times New Roman" w:eastAsia="Times New Roman" w:hAnsi="Times New Roman"/>
                <w:color w:val="000000"/>
                <w:sz w:val="24"/>
                <w:szCs w:val="24"/>
              </w:rPr>
            </w:pPr>
            <w:r>
              <w:rPr>
                <w:rFonts w:ascii="Times New Roman" w:eastAsia="Times New Roman" w:hAnsi="Times New Roman"/>
                <w:color w:val="000000"/>
                <w:sz w:val="24"/>
              </w:rPr>
              <w:t>2081,9</w:t>
            </w:r>
          </w:p>
        </w:tc>
        <w:tc>
          <w:tcPr>
            <w:tcW w:w="1984" w:type="dxa"/>
            <w:tcBorders>
              <w:top w:val="single" w:sz="4" w:space="0" w:color="000000"/>
              <w:left w:val="single" w:sz="4" w:space="0" w:color="000000"/>
              <w:bottom w:val="single" w:sz="4" w:space="0" w:color="000000"/>
            </w:tcBorders>
          </w:tcPr>
          <w:p w:rsidR="000C50BE" w:rsidRDefault="000C50BE">
            <w:pPr>
              <w:spacing w:after="0" w:line="240" w:lineRule="auto"/>
              <w:ind w:firstLine="34"/>
              <w:jc w:val="center"/>
              <w:rPr>
                <w:rFonts w:ascii="Times New Roman" w:eastAsia="Arial" w:hAnsi="Times New Roman"/>
                <w:sz w:val="24"/>
                <w:szCs w:val="24"/>
                <w:lang w:eastAsia="ar-SA"/>
              </w:rPr>
            </w:pPr>
          </w:p>
          <w:p w:rsidR="000C50BE" w:rsidRDefault="000C50BE">
            <w:pPr>
              <w:spacing w:after="0" w:line="240" w:lineRule="auto"/>
              <w:ind w:firstLine="34"/>
              <w:jc w:val="center"/>
              <w:rPr>
                <w:rFonts w:ascii="Times New Roman" w:eastAsia="Arial" w:hAnsi="Times New Roman"/>
                <w:sz w:val="24"/>
                <w:szCs w:val="24"/>
                <w:lang w:eastAsia="ar-SA"/>
              </w:rPr>
            </w:pPr>
          </w:p>
          <w:p w:rsidR="000C50BE" w:rsidRDefault="000C50BE">
            <w:pPr>
              <w:spacing w:after="0" w:line="240" w:lineRule="auto"/>
              <w:ind w:firstLine="34"/>
              <w:jc w:val="center"/>
              <w:rPr>
                <w:rFonts w:ascii="Times New Roman" w:eastAsia="Arial" w:hAnsi="Times New Roman"/>
                <w:sz w:val="24"/>
                <w:szCs w:val="24"/>
                <w:lang w:eastAsia="ar-SA"/>
              </w:rPr>
            </w:pPr>
          </w:p>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1922,5</w:t>
            </w:r>
          </w:p>
        </w:tc>
        <w:tc>
          <w:tcPr>
            <w:tcW w:w="1569" w:type="dxa"/>
            <w:tcBorders>
              <w:top w:val="single" w:sz="4" w:space="0" w:color="000000"/>
              <w:left w:val="single" w:sz="4" w:space="0" w:color="000000"/>
              <w:bottom w:val="single" w:sz="4" w:space="0" w:color="000000"/>
              <w:right w:val="single" w:sz="4" w:space="0" w:color="000000"/>
            </w:tcBorders>
          </w:tcPr>
          <w:p w:rsidR="000C50BE" w:rsidRDefault="000C50BE">
            <w:pPr>
              <w:spacing w:after="0" w:line="240" w:lineRule="auto"/>
              <w:ind w:firstLine="34"/>
              <w:jc w:val="center"/>
              <w:rPr>
                <w:rFonts w:ascii="Times New Roman" w:eastAsia="Arial" w:hAnsi="Times New Roman"/>
                <w:sz w:val="24"/>
                <w:szCs w:val="24"/>
                <w:lang w:eastAsia="ar-SA"/>
              </w:rPr>
            </w:pPr>
          </w:p>
          <w:p w:rsidR="000C50BE" w:rsidRDefault="000C50BE">
            <w:pPr>
              <w:spacing w:after="0" w:line="240" w:lineRule="auto"/>
              <w:ind w:firstLine="34"/>
              <w:jc w:val="center"/>
              <w:rPr>
                <w:rFonts w:ascii="Times New Roman" w:eastAsia="Arial" w:hAnsi="Times New Roman"/>
                <w:sz w:val="24"/>
                <w:szCs w:val="24"/>
                <w:lang w:eastAsia="ar-SA"/>
              </w:rPr>
            </w:pPr>
          </w:p>
          <w:p w:rsidR="000C50BE" w:rsidRDefault="000C50BE">
            <w:pPr>
              <w:spacing w:after="0" w:line="240" w:lineRule="auto"/>
              <w:ind w:firstLine="34"/>
              <w:jc w:val="center"/>
              <w:rPr>
                <w:rFonts w:ascii="Times New Roman" w:eastAsia="Arial" w:hAnsi="Times New Roman"/>
                <w:sz w:val="24"/>
                <w:szCs w:val="24"/>
                <w:lang w:eastAsia="ar-SA"/>
              </w:rPr>
            </w:pPr>
          </w:p>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92,3</w:t>
            </w:r>
          </w:p>
        </w:tc>
      </w:tr>
      <w:tr w:rsidR="000C50BE">
        <w:tc>
          <w:tcPr>
            <w:tcW w:w="3969" w:type="dxa"/>
            <w:tcBorders>
              <w:top w:val="single" w:sz="4" w:space="0" w:color="000000"/>
              <w:left w:val="single" w:sz="4" w:space="0" w:color="000000"/>
              <w:bottom w:val="single" w:sz="4" w:space="0" w:color="000000"/>
            </w:tcBorders>
          </w:tcPr>
          <w:p w:rsidR="000C50BE" w:rsidRDefault="003D201F">
            <w:pPr>
              <w:spacing w:after="0" w:line="240" w:lineRule="auto"/>
              <w:ind w:firstLine="34"/>
              <w:jc w:val="both"/>
              <w:rPr>
                <w:rFonts w:ascii="Times New Roman" w:eastAsia="Arial" w:hAnsi="Times New Roman"/>
                <w:sz w:val="24"/>
                <w:szCs w:val="24"/>
                <w:lang w:eastAsia="ar-SA"/>
              </w:rPr>
            </w:pPr>
            <w:r>
              <w:rPr>
                <w:rFonts w:ascii="Times New Roman" w:eastAsia="Arial" w:hAnsi="Times New Roman"/>
                <w:sz w:val="24"/>
                <w:szCs w:val="24"/>
                <w:lang w:eastAsia="ar-SA"/>
              </w:rPr>
              <w:t>Шерсть, тонн</w:t>
            </w:r>
          </w:p>
        </w:tc>
        <w:tc>
          <w:tcPr>
            <w:tcW w:w="1985"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1,3</w:t>
            </w:r>
          </w:p>
        </w:tc>
        <w:tc>
          <w:tcPr>
            <w:tcW w:w="1984"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0,7</w:t>
            </w:r>
          </w:p>
        </w:tc>
        <w:tc>
          <w:tcPr>
            <w:tcW w:w="1569"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53,8</w:t>
            </w:r>
          </w:p>
        </w:tc>
      </w:tr>
      <w:tr w:rsidR="000C50BE">
        <w:tc>
          <w:tcPr>
            <w:tcW w:w="3969" w:type="dxa"/>
            <w:tcBorders>
              <w:top w:val="single" w:sz="4" w:space="0" w:color="000000"/>
              <w:left w:val="single" w:sz="4" w:space="0" w:color="000000"/>
              <w:bottom w:val="single" w:sz="4" w:space="0" w:color="000000"/>
            </w:tcBorders>
          </w:tcPr>
          <w:p w:rsidR="000C50BE" w:rsidRDefault="003D201F">
            <w:pPr>
              <w:spacing w:after="0" w:line="240" w:lineRule="auto"/>
              <w:ind w:firstLine="34"/>
              <w:jc w:val="both"/>
              <w:rPr>
                <w:rFonts w:ascii="Times New Roman" w:eastAsia="Arial" w:hAnsi="Times New Roman"/>
                <w:sz w:val="24"/>
                <w:szCs w:val="24"/>
                <w:lang w:eastAsia="ar-SA"/>
              </w:rPr>
            </w:pPr>
            <w:r>
              <w:rPr>
                <w:rFonts w:ascii="Times New Roman" w:eastAsia="Arial" w:hAnsi="Times New Roman"/>
                <w:sz w:val="24"/>
                <w:szCs w:val="24"/>
                <w:lang w:eastAsia="ar-SA"/>
              </w:rPr>
              <w:t>Козий пух, тонн</w:t>
            </w:r>
          </w:p>
        </w:tc>
        <w:tc>
          <w:tcPr>
            <w:tcW w:w="1985"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0,6</w:t>
            </w:r>
          </w:p>
        </w:tc>
        <w:tc>
          <w:tcPr>
            <w:tcW w:w="1984"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0,8</w:t>
            </w:r>
          </w:p>
        </w:tc>
        <w:tc>
          <w:tcPr>
            <w:tcW w:w="1569"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133,3</w:t>
            </w:r>
          </w:p>
        </w:tc>
      </w:tr>
      <w:tr w:rsidR="000C50BE">
        <w:tc>
          <w:tcPr>
            <w:tcW w:w="3969" w:type="dxa"/>
            <w:tcBorders>
              <w:top w:val="single" w:sz="4" w:space="0" w:color="000000"/>
              <w:left w:val="single" w:sz="4" w:space="0" w:color="000000"/>
              <w:bottom w:val="single" w:sz="4" w:space="0" w:color="000000"/>
            </w:tcBorders>
          </w:tcPr>
          <w:p w:rsidR="000C50BE" w:rsidRDefault="003D201F">
            <w:pPr>
              <w:spacing w:after="0" w:line="240" w:lineRule="auto"/>
              <w:ind w:firstLine="34"/>
              <w:jc w:val="both"/>
              <w:rPr>
                <w:rFonts w:ascii="Times New Roman" w:eastAsia="Arial" w:hAnsi="Times New Roman"/>
                <w:sz w:val="24"/>
                <w:szCs w:val="24"/>
                <w:lang w:eastAsia="ar-SA"/>
              </w:rPr>
            </w:pPr>
            <w:r>
              <w:rPr>
                <w:rFonts w:ascii="Times New Roman" w:eastAsia="Arial" w:hAnsi="Times New Roman"/>
                <w:sz w:val="24"/>
                <w:szCs w:val="24"/>
                <w:lang w:eastAsia="ar-SA"/>
              </w:rPr>
              <w:t>Яйца, тыс. шт.</w:t>
            </w:r>
          </w:p>
        </w:tc>
        <w:tc>
          <w:tcPr>
            <w:tcW w:w="1985"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1006,4</w:t>
            </w:r>
          </w:p>
        </w:tc>
        <w:tc>
          <w:tcPr>
            <w:tcW w:w="1984" w:type="dxa"/>
            <w:tcBorders>
              <w:top w:val="single" w:sz="4" w:space="0" w:color="000000"/>
              <w:left w:val="single" w:sz="4" w:space="0" w:color="000000"/>
              <w:bottom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1201,9</w:t>
            </w:r>
          </w:p>
        </w:tc>
        <w:tc>
          <w:tcPr>
            <w:tcW w:w="1569"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ind w:firstLine="34"/>
              <w:jc w:val="center"/>
              <w:rPr>
                <w:rFonts w:ascii="Times New Roman" w:eastAsia="Arial" w:hAnsi="Times New Roman"/>
                <w:sz w:val="24"/>
                <w:szCs w:val="24"/>
                <w:lang w:eastAsia="ar-SA"/>
              </w:rPr>
            </w:pPr>
            <w:r>
              <w:rPr>
                <w:rFonts w:ascii="Times New Roman" w:eastAsia="Arial" w:hAnsi="Times New Roman"/>
                <w:sz w:val="24"/>
                <w:szCs w:val="24"/>
                <w:lang w:eastAsia="ar-SA"/>
              </w:rPr>
              <w:t>119,4</w:t>
            </w:r>
          </w:p>
        </w:tc>
      </w:tr>
    </w:tbl>
    <w:p w:rsidR="000C50BE" w:rsidRDefault="000C50BE">
      <w:pPr>
        <w:spacing w:after="0" w:line="240" w:lineRule="auto"/>
        <w:ind w:firstLine="709"/>
        <w:jc w:val="both"/>
      </w:pPr>
    </w:p>
    <w:p w:rsidR="000C50BE" w:rsidRDefault="003D201F">
      <w:pPr>
        <w:spacing w:after="0" w:line="240" w:lineRule="auto"/>
        <w:ind w:firstLine="709"/>
        <w:jc w:val="both"/>
        <w:rPr>
          <w:rFonts w:ascii="Times New Roman" w:eastAsia="Arial" w:hAnsi="Times New Roman"/>
          <w:sz w:val="24"/>
          <w:szCs w:val="24"/>
          <w:lang w:eastAsia="ar-SA"/>
        </w:rPr>
      </w:pPr>
      <w:r>
        <w:rPr>
          <w:rFonts w:ascii="Times New Roman" w:eastAsia="Arial" w:hAnsi="Times New Roman"/>
          <w:sz w:val="24"/>
          <w:szCs w:val="24"/>
          <w:lang w:eastAsia="ar-SA"/>
        </w:rPr>
        <w:t>На 01.01.2022 г. в хозяйствах всех категорий:</w:t>
      </w:r>
    </w:p>
    <w:p w:rsidR="000C50BE" w:rsidRDefault="003D201F">
      <w:pPr>
        <w:spacing w:after="0" w:line="240" w:lineRule="auto"/>
        <w:ind w:firstLine="709"/>
        <w:jc w:val="both"/>
      </w:pPr>
      <w:r>
        <w:rPr>
          <w:rFonts w:ascii="Times New Roman" w:eastAsia="Arial" w:hAnsi="Times New Roman"/>
          <w:sz w:val="24"/>
          <w:szCs w:val="24"/>
          <w:u w:val="single"/>
          <w:lang w:eastAsia="ar-SA"/>
        </w:rPr>
        <w:t>производство мяса на убой (в живой массе)</w:t>
      </w:r>
      <w:r>
        <w:rPr>
          <w:rFonts w:ascii="Times New Roman" w:eastAsia="Arial" w:hAnsi="Times New Roman"/>
          <w:sz w:val="24"/>
          <w:szCs w:val="24"/>
          <w:lang w:eastAsia="ar-SA"/>
        </w:rPr>
        <w:t xml:space="preserve"> составило 728,9 тонны (ООО «Алтайские луга», КХ «Фокин», ИП Козодубов, ИП Бархатова), что </w:t>
      </w:r>
      <w:r>
        <w:rPr>
          <w:rFonts w:ascii="Times New Roman" w:eastAsia="Arial" w:hAnsi="Times New Roman"/>
          <w:i/>
          <w:sz w:val="24"/>
          <w:szCs w:val="24"/>
          <w:lang w:eastAsia="ar-SA"/>
        </w:rPr>
        <w:t>ниже</w:t>
      </w:r>
      <w:r>
        <w:rPr>
          <w:rFonts w:ascii="Times New Roman" w:eastAsia="Arial" w:hAnsi="Times New Roman"/>
          <w:sz w:val="24"/>
          <w:szCs w:val="24"/>
          <w:lang w:eastAsia="ar-SA"/>
        </w:rPr>
        <w:t xml:space="preserve"> уровня аналогичного периода прошлого года на 12,9 %. </w:t>
      </w:r>
      <w:r>
        <w:rPr>
          <w:rFonts w:ascii="Times New Roman" w:eastAsia="Arial" w:hAnsi="Times New Roman"/>
          <w:i/>
          <w:sz w:val="24"/>
          <w:szCs w:val="24"/>
          <w:lang w:eastAsia="ar-SA"/>
        </w:rPr>
        <w:t xml:space="preserve"> Снижение</w:t>
      </w:r>
      <w:r>
        <w:rPr>
          <w:rFonts w:ascii="Times New Roman" w:eastAsia="Arial" w:hAnsi="Times New Roman"/>
          <w:sz w:val="24"/>
          <w:szCs w:val="24"/>
          <w:lang w:eastAsia="ar-SA"/>
        </w:rPr>
        <w:t xml:space="preserve"> связано с запретом на убой скота на частных подворьях, теперь фермеры должны забивать животных на продажу только на специальных площадках, в противном случае они не получат сопроводительные документы. Убойные пункты есть не во всех районах Алтайского края, поэтому доставка скота будет стоить дополнительных денег и времени. Средняя убойная масса (вес туши без кожи, головы, внутренностей и нижних частей ног) одной головы КРС составила 180-200 кг. Убойный выход (убойная масса к живой массе) составляет 45-50 %.</w:t>
      </w:r>
    </w:p>
    <w:p w:rsidR="000C50BE" w:rsidRDefault="003D201F">
      <w:pPr>
        <w:spacing w:after="0" w:line="240" w:lineRule="auto"/>
        <w:ind w:firstLine="709"/>
        <w:jc w:val="both"/>
        <w:rPr>
          <w:rFonts w:ascii="Times New Roman" w:eastAsia="Arial" w:hAnsi="Times New Roman"/>
          <w:sz w:val="24"/>
          <w:szCs w:val="24"/>
          <w:lang w:eastAsia="ar-SA"/>
        </w:rPr>
      </w:pPr>
      <w:r>
        <w:rPr>
          <w:rFonts w:ascii="Times New Roman" w:eastAsia="Arial" w:hAnsi="Times New Roman"/>
          <w:sz w:val="24"/>
          <w:szCs w:val="24"/>
          <w:u w:val="single"/>
          <w:lang w:eastAsia="ar-SA"/>
        </w:rPr>
        <w:t>производство молока в хозяйствах всех категорий</w:t>
      </w:r>
      <w:r>
        <w:rPr>
          <w:rFonts w:ascii="Times New Roman" w:eastAsia="Arial" w:hAnsi="Times New Roman"/>
          <w:sz w:val="24"/>
          <w:szCs w:val="24"/>
          <w:lang w:eastAsia="ar-SA"/>
        </w:rPr>
        <w:t xml:space="preserve"> составило 4557,2 тонн (ООО «Алтынту», КФ «Фокин», ИП Колпашников, ИП Бархатова), что на 3,2 % </w:t>
      </w:r>
      <w:r>
        <w:rPr>
          <w:rFonts w:ascii="Times New Roman" w:eastAsia="Arial" w:hAnsi="Times New Roman"/>
          <w:i/>
          <w:sz w:val="24"/>
          <w:szCs w:val="24"/>
          <w:lang w:eastAsia="ar-SA"/>
        </w:rPr>
        <w:t>ниже</w:t>
      </w:r>
      <w:r>
        <w:rPr>
          <w:rFonts w:ascii="Times New Roman" w:eastAsia="Arial" w:hAnsi="Times New Roman"/>
          <w:sz w:val="24"/>
          <w:szCs w:val="24"/>
          <w:lang w:eastAsia="ar-SA"/>
        </w:rPr>
        <w:t xml:space="preserve"> уровня аналогичного периода прошлого года, снижение показателей связано с уменьшением поголовья в сельскохозяйственных организациях. Надой на одну корову в сельхозорганизациях составляет 1282 кг, что ниже на 3,2 % аналогичного периода прошлого года</w:t>
      </w:r>
      <w:r>
        <w:rPr>
          <w:rFonts w:ascii="Times New Roman" w:eastAsia="Arial" w:hAnsi="Times New Roman"/>
          <w:i/>
          <w:sz w:val="24"/>
          <w:szCs w:val="24"/>
          <w:lang w:eastAsia="ar-SA"/>
        </w:rPr>
        <w:t>;</w:t>
      </w:r>
    </w:p>
    <w:p w:rsidR="000C50BE" w:rsidRDefault="003D201F">
      <w:pPr>
        <w:spacing w:after="0" w:line="240" w:lineRule="auto"/>
        <w:ind w:firstLine="709"/>
        <w:jc w:val="both"/>
      </w:pPr>
      <w:r>
        <w:rPr>
          <w:rFonts w:ascii="Times New Roman" w:eastAsia="Arial" w:hAnsi="Times New Roman"/>
          <w:sz w:val="24"/>
          <w:szCs w:val="24"/>
          <w:u w:val="single"/>
          <w:lang w:eastAsia="ar-SA"/>
        </w:rPr>
        <w:t>производство молока в сельскохозяйственных организациях и крестьянских (фермерских) хозяйствах, включая индивидуальных предпринимателей</w:t>
      </w:r>
      <w:r>
        <w:rPr>
          <w:rFonts w:ascii="Times New Roman" w:eastAsia="Arial" w:hAnsi="Times New Roman"/>
          <w:sz w:val="24"/>
          <w:szCs w:val="24"/>
          <w:lang w:eastAsia="ar-SA"/>
        </w:rPr>
        <w:t xml:space="preserve">, составило 1922,5 тонн </w:t>
      </w:r>
      <w:r>
        <w:rPr>
          <w:rFonts w:ascii="Times New Roman" w:eastAsia="Times New Roman" w:hAnsi="Times New Roman"/>
          <w:sz w:val="24"/>
          <w:szCs w:val="24"/>
          <w:lang w:eastAsia="ar-SA"/>
        </w:rPr>
        <w:t xml:space="preserve">(ООО «Алтынту», КФ «Фокин», ИП Колпашников), что </w:t>
      </w:r>
      <w:r>
        <w:rPr>
          <w:rFonts w:ascii="Times New Roman" w:eastAsia="Times New Roman" w:hAnsi="Times New Roman"/>
          <w:i/>
          <w:sz w:val="24"/>
          <w:szCs w:val="24"/>
          <w:lang w:eastAsia="ar-SA"/>
        </w:rPr>
        <w:t>ниже</w:t>
      </w:r>
      <w:r>
        <w:rPr>
          <w:rFonts w:ascii="Times New Roman" w:eastAsia="Times New Roman" w:hAnsi="Times New Roman"/>
          <w:sz w:val="24"/>
          <w:szCs w:val="24"/>
          <w:lang w:eastAsia="ar-SA"/>
        </w:rPr>
        <w:t xml:space="preserve"> уровня аналогичного периода прошлого года на 7,7%. </w:t>
      </w:r>
      <w:r>
        <w:rPr>
          <w:rFonts w:ascii="Times New Roman" w:eastAsia="Times New Roman" w:hAnsi="Times New Roman"/>
          <w:color w:val="000000"/>
          <w:sz w:val="24"/>
        </w:rPr>
        <w:t>Снижение связано со снижением поголовья коров молочного направления в сельскохозяйственных организациях, выбраковкой низкоудойных коров, приобретением племенного скота.</w:t>
      </w:r>
    </w:p>
    <w:p w:rsidR="000C50BE" w:rsidRDefault="003D201F">
      <w:pPr>
        <w:spacing w:after="0" w:line="240" w:lineRule="auto"/>
        <w:ind w:firstLine="709"/>
        <w:jc w:val="both"/>
        <w:rPr>
          <w:rFonts w:ascii="Times New Roman" w:eastAsia="Arial" w:hAnsi="Times New Roman"/>
          <w:sz w:val="24"/>
          <w:szCs w:val="24"/>
          <w:highlight w:val="white"/>
        </w:rPr>
      </w:pPr>
      <w:r>
        <w:rPr>
          <w:rFonts w:ascii="Times New Roman" w:eastAsia="Arial" w:hAnsi="Times New Roman"/>
          <w:sz w:val="24"/>
          <w:szCs w:val="24"/>
          <w:highlight w:val="white"/>
          <w:u w:val="single"/>
          <w:lang w:eastAsia="ar-SA"/>
        </w:rPr>
        <w:t>производство шерсти</w:t>
      </w:r>
      <w:r>
        <w:rPr>
          <w:rFonts w:ascii="Times New Roman" w:eastAsia="Arial" w:hAnsi="Times New Roman"/>
          <w:sz w:val="24"/>
          <w:szCs w:val="24"/>
          <w:highlight w:val="white"/>
          <w:lang w:eastAsia="ar-SA"/>
        </w:rPr>
        <w:t xml:space="preserve"> составило 0,7 тонн (ЛПХ), что на 53,8 % </w:t>
      </w:r>
      <w:r>
        <w:rPr>
          <w:rFonts w:ascii="Times New Roman" w:eastAsia="Arial" w:hAnsi="Times New Roman"/>
          <w:i/>
          <w:sz w:val="24"/>
          <w:szCs w:val="24"/>
          <w:highlight w:val="white"/>
          <w:lang w:eastAsia="ar-SA"/>
        </w:rPr>
        <w:t>ниже</w:t>
      </w:r>
      <w:r>
        <w:rPr>
          <w:rFonts w:ascii="Times New Roman" w:eastAsia="Arial" w:hAnsi="Times New Roman"/>
          <w:sz w:val="24"/>
          <w:szCs w:val="24"/>
          <w:highlight w:val="white"/>
          <w:lang w:eastAsia="ar-SA"/>
        </w:rPr>
        <w:t xml:space="preserve"> уровня аналогичного периода прошлого года. </w:t>
      </w:r>
      <w:r>
        <w:rPr>
          <w:rFonts w:ascii="Times New Roman" w:eastAsia="Arial" w:hAnsi="Times New Roman"/>
          <w:i/>
          <w:sz w:val="24"/>
          <w:szCs w:val="24"/>
          <w:highlight w:val="white"/>
          <w:lang w:eastAsia="ar-SA"/>
        </w:rPr>
        <w:t>Снижение</w:t>
      </w:r>
      <w:r>
        <w:rPr>
          <w:rFonts w:ascii="Times New Roman" w:eastAsia="Arial" w:hAnsi="Times New Roman"/>
          <w:sz w:val="24"/>
          <w:szCs w:val="24"/>
          <w:highlight w:val="white"/>
          <w:lang w:eastAsia="ar-SA"/>
        </w:rPr>
        <w:t xml:space="preserve"> объемов производства связано с </w:t>
      </w:r>
      <w:r>
        <w:rPr>
          <w:rFonts w:ascii="Times New Roman" w:eastAsia="Arial" w:hAnsi="Times New Roman"/>
          <w:i/>
          <w:sz w:val="24"/>
          <w:szCs w:val="24"/>
          <w:highlight w:val="white"/>
          <w:lang w:eastAsia="ar-SA"/>
        </w:rPr>
        <w:t>уменьшением поголовья овец в ЛПХ.</w:t>
      </w:r>
    </w:p>
    <w:p w:rsidR="000C50BE" w:rsidRDefault="003D201F">
      <w:pPr>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highlight w:val="white"/>
          <w:lang w:eastAsia="ar-SA"/>
        </w:rPr>
        <w:t>За отчетный период реализация государственной</w:t>
      </w:r>
      <w:r>
        <w:rPr>
          <w:rFonts w:ascii="Times New Roman" w:eastAsia="Times New Roman" w:hAnsi="Times New Roman"/>
          <w:sz w:val="24"/>
          <w:szCs w:val="24"/>
          <w:lang w:eastAsia="ar-SA"/>
        </w:rPr>
        <w:t xml:space="preserve"> программы Республики Алтай «Развитие сельского хозяйства и регулирования рынков сельскохозяйственной продукции, сырья и продовольствия» позволила провести ряд мероприятий по государственной поддержке сельхозтоваропроизводителей на общую сумму 12,2 млн. руб. (на 01.01.2021 г. – 5,5 млн. руб.). Государственная поддержка оказана 13 сельхозтоваропроизводителям, в т.ч. 6 сельхозорганизациям, 7 КФХ и ИП.</w:t>
      </w:r>
    </w:p>
    <w:p w:rsidR="000C50BE" w:rsidRDefault="000C50BE">
      <w:pPr>
        <w:spacing w:after="0" w:line="240" w:lineRule="auto"/>
        <w:ind w:firstLine="709"/>
        <w:jc w:val="both"/>
      </w:pPr>
    </w:p>
    <w:p w:rsidR="000C50BE" w:rsidRDefault="003D201F">
      <w:pPr>
        <w:spacing w:after="0" w:line="240" w:lineRule="auto"/>
        <w:ind w:firstLine="709"/>
        <w:jc w:val="both"/>
        <w:rPr>
          <w:rFonts w:ascii="Times New Roman" w:hAnsi="Times New Roman"/>
          <w:b/>
          <w:sz w:val="24"/>
          <w:szCs w:val="24"/>
        </w:rPr>
      </w:pPr>
      <w:r>
        <w:rPr>
          <w:rFonts w:ascii="Times New Roman" w:hAnsi="Times New Roman"/>
          <w:b/>
          <w:sz w:val="24"/>
          <w:szCs w:val="24"/>
        </w:rPr>
        <w:t>2.5. Дорожное хозяйство</w:t>
      </w:r>
    </w:p>
    <w:p w:rsidR="000C50BE" w:rsidRDefault="003D201F">
      <w:pPr>
        <w:spacing w:after="0" w:line="240" w:lineRule="auto"/>
        <w:ind w:firstLine="709"/>
        <w:jc w:val="both"/>
        <w:rPr>
          <w:rFonts w:ascii="Times New Roman" w:hAnsi="Times New Roman"/>
          <w:color w:val="FF0000"/>
          <w:sz w:val="24"/>
          <w:szCs w:val="24"/>
        </w:rPr>
      </w:pPr>
      <w:r>
        <w:rPr>
          <w:rFonts w:ascii="Times New Roman" w:hAnsi="Times New Roman"/>
          <w:sz w:val="24"/>
          <w:szCs w:val="24"/>
        </w:rPr>
        <w:t>Протяженность автомобильных дорог местного значения на 01.01</w:t>
      </w:r>
      <w:r>
        <w:rPr>
          <w:rFonts w:ascii="Times New Roman" w:hAnsi="Times New Roman"/>
          <w:color w:val="000000" w:themeColor="text1"/>
          <w:sz w:val="24"/>
          <w:szCs w:val="24"/>
        </w:rPr>
        <w:t>.2022 </w:t>
      </w:r>
      <w:r>
        <w:rPr>
          <w:rFonts w:ascii="Times New Roman" w:hAnsi="Times New Roman"/>
          <w:sz w:val="24"/>
          <w:szCs w:val="24"/>
        </w:rPr>
        <w:t>г. составила 289,9 км, в том числе с твердым покрытие</w:t>
      </w:r>
      <w:r>
        <w:rPr>
          <w:rFonts w:ascii="Times New Roman" w:hAnsi="Times New Roman"/>
          <w:color w:val="000000" w:themeColor="text1"/>
          <w:sz w:val="24"/>
          <w:szCs w:val="24"/>
        </w:rPr>
        <w:t>м 154,4 км, пока</w:t>
      </w:r>
      <w:r>
        <w:rPr>
          <w:rFonts w:ascii="Times New Roman" w:hAnsi="Times New Roman"/>
          <w:sz w:val="24"/>
          <w:szCs w:val="24"/>
        </w:rPr>
        <w:t xml:space="preserve">затель не изменился к уровню аналогичного периода прошлого года. </w:t>
      </w:r>
    </w:p>
    <w:p w:rsidR="000C50BE" w:rsidRDefault="003D201F">
      <w:pPr>
        <w:spacing w:after="0" w:line="240" w:lineRule="auto"/>
        <w:ind w:firstLine="709"/>
        <w:jc w:val="both"/>
        <w:rPr>
          <w:rFonts w:ascii="Times New Roman" w:eastAsia="Times New Roman" w:hAnsi="Times New Roman"/>
          <w:sz w:val="24"/>
          <w:szCs w:val="24"/>
          <w:highlight w:val="white"/>
        </w:rPr>
      </w:pPr>
      <w:r>
        <w:rPr>
          <w:rFonts w:ascii="Times New Roman" w:eastAsia="Times New Roman" w:hAnsi="Times New Roman"/>
          <w:sz w:val="24"/>
          <w:szCs w:val="24"/>
          <w:lang w:eastAsia="ar-SA"/>
        </w:rPr>
        <w:t>В сравнении с планом на 01.01.2022 г. отмечено отклонение д</w:t>
      </w:r>
      <w:r>
        <w:rPr>
          <w:rFonts w:ascii="Times New Roman" w:hAnsi="Times New Roman"/>
          <w:sz w:val="24"/>
          <w:szCs w:val="24"/>
        </w:rPr>
        <w:t xml:space="preserve">оли автомобильных дорог местного значения в общей протяженности автомобильных дорог местного значения </w:t>
      </w:r>
      <w:r>
        <w:rPr>
          <w:rFonts w:ascii="Times New Roman" w:eastAsia="Times New Roman" w:hAnsi="Times New Roman"/>
          <w:sz w:val="24"/>
          <w:szCs w:val="24"/>
          <w:highlight w:val="white"/>
          <w:lang w:eastAsia="ar-SA"/>
        </w:rPr>
        <w:t>на (+) 0,5 процентных пунктов.</w:t>
      </w:r>
      <w:r>
        <w:rPr>
          <w:sz w:val="24"/>
          <w:highlight w:val="white"/>
        </w:rPr>
        <w:t xml:space="preserve"> </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highlight w:val="white"/>
        </w:rPr>
      </w:pPr>
      <w:r>
        <w:rPr>
          <w:rFonts w:ascii="Times New Roman" w:hAnsi="Times New Roman"/>
          <w:sz w:val="24"/>
          <w:highlight w:val="white"/>
        </w:rPr>
        <w:t>За 2021 год, на территории района, дорожные работы, направленные на прирост автомобильных дорог с твердым покрытием, не осуществлялись.</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 xml:space="preserve">В 2021 г. был проведен ремонт автомобильных дорог местного значения, </w:t>
      </w:r>
      <w:r>
        <w:rPr>
          <w:rFonts w:ascii="Times New Roman" w:hAnsi="Times New Roman"/>
          <w:sz w:val="24"/>
          <w:highlight w:val="white"/>
        </w:rPr>
        <w:t>протяженностью 2,486 км в ра</w:t>
      </w:r>
      <w:r>
        <w:rPr>
          <w:rFonts w:ascii="Times New Roman" w:hAnsi="Times New Roman"/>
          <w:sz w:val="24"/>
        </w:rPr>
        <w:t xml:space="preserve">мках реализации регионального проекта «Дорожная сеть» национального проекта «Безопасные </w:t>
      </w:r>
      <w:r>
        <w:rPr>
          <w:rFonts w:ascii="Times New Roman" w:hAnsi="Times New Roman"/>
          <w:sz w:val="24"/>
          <w:highlight w:val="white"/>
        </w:rPr>
        <w:t>качественные</w:t>
      </w:r>
      <w:r>
        <w:rPr>
          <w:rFonts w:ascii="Times New Roman" w:hAnsi="Times New Roman"/>
          <w:sz w:val="24"/>
        </w:rPr>
        <w:t xml:space="preserve"> дороги»:  </w:t>
      </w:r>
    </w:p>
    <w:p w:rsidR="000C50BE" w:rsidRDefault="000C50BE">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p>
    <w:tbl>
      <w:tblPr>
        <w:tblStyle w:val="af"/>
        <w:tblW w:w="9463"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718"/>
        <w:gridCol w:w="4517"/>
        <w:gridCol w:w="1985"/>
        <w:gridCol w:w="2243"/>
      </w:tblGrid>
      <w:tr w:rsidR="000C50BE" w:rsidTr="003D201F">
        <w:tc>
          <w:tcPr>
            <w:tcW w:w="718" w:type="dxa"/>
            <w:tcBorders>
              <w:top w:val="single" w:sz="8" w:space="0" w:color="BFBFBF"/>
              <w:left w:val="single" w:sz="8" w:space="0" w:color="BFBFBF"/>
              <w:bottom w:val="single" w:sz="8" w:space="0" w:color="BFBFBF"/>
              <w:right w:val="single" w:sz="8" w:space="0" w:color="BFBFBF"/>
            </w:tcBorders>
            <w:tcMar>
              <w:top w:w="0" w:type="dxa"/>
              <w:left w:w="108" w:type="dxa"/>
              <w:bottom w:w="0" w:type="dxa"/>
              <w:right w:w="108" w:type="dxa"/>
            </w:tcMar>
          </w:tcPr>
          <w:p w:rsidR="000C50BE" w:rsidRDefault="000C50BE">
            <w:pPr>
              <w:pBdr>
                <w:top w:val="none" w:sz="4" w:space="0" w:color="000000"/>
                <w:left w:val="none" w:sz="4" w:space="0" w:color="000000"/>
                <w:bottom w:val="none" w:sz="4" w:space="0" w:color="000000"/>
                <w:right w:val="none" w:sz="4" w:space="0" w:color="000000"/>
              </w:pBdr>
              <w:spacing w:after="0"/>
              <w:jc w:val="center"/>
            </w:pPr>
          </w:p>
          <w:p w:rsidR="000C50BE" w:rsidRDefault="000C50BE">
            <w:pPr>
              <w:pBdr>
                <w:top w:val="none" w:sz="4" w:space="0" w:color="000000"/>
                <w:left w:val="none" w:sz="4" w:space="0" w:color="000000"/>
                <w:bottom w:val="none" w:sz="4" w:space="0" w:color="000000"/>
                <w:right w:val="none" w:sz="4" w:space="0" w:color="000000"/>
              </w:pBdr>
              <w:spacing w:after="0"/>
              <w:jc w:val="center"/>
            </w:pPr>
          </w:p>
        </w:tc>
        <w:tc>
          <w:tcPr>
            <w:tcW w:w="4517" w:type="dxa"/>
            <w:tcBorders>
              <w:top w:val="single" w:sz="8" w:space="0" w:color="BFBFBF"/>
              <w:left w:val="none" w:sz="4" w:space="0" w:color="000000"/>
              <w:bottom w:val="single" w:sz="8" w:space="0" w:color="BFBFBF"/>
              <w:right w:val="single" w:sz="8" w:space="0" w:color="BFBFBF"/>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color w:val="000000"/>
                <w:sz w:val="24"/>
              </w:rPr>
            </w:pPr>
            <w:r>
              <w:rPr>
                <w:rFonts w:ascii="Times New Roman" w:eastAsia="Times New Roman" w:hAnsi="Times New Roman"/>
                <w:color w:val="000000" w:themeColor="text1"/>
                <w:sz w:val="24"/>
              </w:rPr>
              <w:t>Наименование объекта (Адрес)</w:t>
            </w:r>
          </w:p>
        </w:tc>
        <w:tc>
          <w:tcPr>
            <w:tcW w:w="1985" w:type="dxa"/>
            <w:tcBorders>
              <w:top w:val="single" w:sz="8" w:space="0" w:color="BFBFBF"/>
              <w:left w:val="none" w:sz="4" w:space="0" w:color="000000"/>
              <w:bottom w:val="single" w:sz="8" w:space="0" w:color="BFBFBF"/>
              <w:right w:val="single" w:sz="8" w:space="0" w:color="BFBFBF"/>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color w:val="000000"/>
                <w:sz w:val="24"/>
              </w:rPr>
            </w:pPr>
            <w:r>
              <w:rPr>
                <w:rFonts w:ascii="Times New Roman" w:eastAsia="Times New Roman" w:hAnsi="Times New Roman"/>
                <w:color w:val="000000" w:themeColor="text1"/>
                <w:sz w:val="24"/>
              </w:rPr>
              <w:t>Протяженность, км</w:t>
            </w:r>
          </w:p>
        </w:tc>
        <w:tc>
          <w:tcPr>
            <w:tcW w:w="2243" w:type="dxa"/>
            <w:tcBorders>
              <w:top w:val="single" w:sz="8" w:space="0" w:color="BFBFBF"/>
              <w:left w:val="none" w:sz="4" w:space="0" w:color="000000"/>
              <w:bottom w:val="single" w:sz="8" w:space="0" w:color="BFBFBF"/>
              <w:right w:val="single" w:sz="8" w:space="0" w:color="BFBFBF"/>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r>
              <w:rPr>
                <w:rFonts w:ascii="Times New Roman" w:eastAsia="Times New Roman" w:hAnsi="Times New Roman"/>
                <w:color w:val="000000" w:themeColor="text1"/>
                <w:sz w:val="24"/>
              </w:rPr>
              <w:t>Размер бюджетных ассигнований,</w:t>
            </w:r>
          </w:p>
          <w:p w:rsidR="000C50BE" w:rsidRDefault="003D201F">
            <w:pPr>
              <w:pBdr>
                <w:top w:val="none" w:sz="4" w:space="0" w:color="000000"/>
                <w:left w:val="none" w:sz="4" w:space="0" w:color="000000"/>
                <w:bottom w:val="none" w:sz="4" w:space="0" w:color="000000"/>
                <w:right w:val="none" w:sz="4" w:space="0" w:color="000000"/>
              </w:pBdr>
              <w:spacing w:after="0"/>
              <w:jc w:val="center"/>
              <w:rPr>
                <w:color w:val="000000"/>
                <w:sz w:val="24"/>
              </w:rPr>
            </w:pPr>
            <w:r>
              <w:rPr>
                <w:rFonts w:ascii="Times New Roman" w:eastAsia="Times New Roman" w:hAnsi="Times New Roman"/>
                <w:color w:val="000000" w:themeColor="text1"/>
                <w:sz w:val="24"/>
              </w:rPr>
              <w:t xml:space="preserve"> тыс. руб.</w:t>
            </w:r>
          </w:p>
        </w:tc>
      </w:tr>
      <w:tr w:rsidR="000C50BE" w:rsidTr="003D201F">
        <w:tc>
          <w:tcPr>
            <w:tcW w:w="718" w:type="dxa"/>
            <w:tcBorders>
              <w:top w:val="none" w:sz="4" w:space="0" w:color="000000"/>
              <w:left w:val="single" w:sz="8" w:space="0" w:color="BFBFBF"/>
              <w:bottom w:val="single" w:sz="8" w:space="0" w:color="BFBFBF"/>
              <w:right w:val="single" w:sz="8" w:space="0" w:color="BFBFBF"/>
            </w:tcBorders>
            <w:shd w:val="clear" w:color="F2F2F2" w:fill="F2F2F2"/>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color w:val="000000"/>
                <w:sz w:val="24"/>
              </w:rPr>
            </w:pPr>
            <w:r>
              <w:rPr>
                <w:rFonts w:ascii="Times New Roman" w:eastAsia="Times New Roman" w:hAnsi="Times New Roman"/>
                <w:color w:val="000000" w:themeColor="text1"/>
                <w:sz w:val="24"/>
              </w:rPr>
              <w:t>1</w:t>
            </w:r>
          </w:p>
        </w:tc>
        <w:tc>
          <w:tcPr>
            <w:tcW w:w="4517" w:type="dxa"/>
            <w:tcBorders>
              <w:top w:val="none" w:sz="4" w:space="0" w:color="000000"/>
              <w:left w:val="none" w:sz="4" w:space="0" w:color="000000"/>
              <w:bottom w:val="single" w:sz="8" w:space="0" w:color="BFBFBF"/>
              <w:right w:val="single" w:sz="8" w:space="0" w:color="BFBFBF"/>
            </w:tcBorders>
            <w:shd w:val="clear" w:color="F2F2F2" w:fill="F2F2F2"/>
            <w:tcMar>
              <w:top w:w="0" w:type="dxa"/>
              <w:left w:w="108" w:type="dxa"/>
              <w:bottom w:w="0" w:type="dxa"/>
              <w:right w:w="108" w:type="dxa"/>
            </w:tcMar>
            <w:vAlign w:val="center"/>
          </w:tcPr>
          <w:p w:rsidR="000C50BE" w:rsidRDefault="003D201F">
            <w:pPr>
              <w:pBdr>
                <w:top w:val="none" w:sz="4" w:space="0" w:color="000000"/>
                <w:left w:val="none" w:sz="4" w:space="0" w:color="000000"/>
                <w:bottom w:val="none" w:sz="4" w:space="0" w:color="000000"/>
                <w:right w:val="none" w:sz="4" w:space="0" w:color="000000"/>
              </w:pBdr>
              <w:spacing w:after="0"/>
              <w:rPr>
                <w:color w:val="000000"/>
                <w:sz w:val="24"/>
              </w:rPr>
            </w:pPr>
            <w:r>
              <w:rPr>
                <w:rFonts w:ascii="Times New Roman" w:eastAsia="Times New Roman" w:hAnsi="Times New Roman"/>
                <w:color w:val="000000" w:themeColor="text1"/>
                <w:sz w:val="24"/>
              </w:rPr>
              <w:t>Ремонт автомобильной дороги по ул. Луговая в с. Майма, Республика Алтай</w:t>
            </w:r>
          </w:p>
        </w:tc>
        <w:tc>
          <w:tcPr>
            <w:tcW w:w="1985" w:type="dxa"/>
            <w:tcBorders>
              <w:top w:val="none" w:sz="4" w:space="0" w:color="000000"/>
              <w:left w:val="none" w:sz="4" w:space="0" w:color="000000"/>
              <w:bottom w:val="single" w:sz="8" w:space="0" w:color="BFBFBF"/>
              <w:right w:val="single" w:sz="8" w:space="0" w:color="BFBFBF"/>
            </w:tcBorders>
            <w:shd w:val="clear" w:color="F2F2F2" w:fill="F2F2F2"/>
            <w:tcMar>
              <w:top w:w="0" w:type="dxa"/>
              <w:left w:w="108" w:type="dxa"/>
              <w:bottom w:w="0" w:type="dxa"/>
              <w:right w:w="108" w:type="dxa"/>
            </w:tcMar>
          </w:tcPr>
          <w:p w:rsidR="000C50BE" w:rsidRDefault="000C50BE">
            <w:pPr>
              <w:pBdr>
                <w:top w:val="none" w:sz="4" w:space="0" w:color="000000"/>
                <w:left w:val="none" w:sz="4" w:space="0" w:color="000000"/>
                <w:bottom w:val="none" w:sz="4" w:space="0" w:color="000000"/>
                <w:right w:val="none" w:sz="4" w:space="0" w:color="000000"/>
              </w:pBdr>
              <w:spacing w:after="0"/>
              <w:jc w:val="center"/>
              <w:rPr>
                <w:color w:val="000000"/>
                <w:sz w:val="24"/>
              </w:rPr>
            </w:pPr>
          </w:p>
          <w:p w:rsidR="000C50BE" w:rsidRDefault="003D201F">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r>
              <w:rPr>
                <w:rFonts w:ascii="Times New Roman" w:eastAsia="Times New Roman" w:hAnsi="Times New Roman"/>
                <w:color w:val="000000" w:themeColor="text1"/>
                <w:sz w:val="24"/>
              </w:rPr>
              <w:t>0,697</w:t>
            </w:r>
          </w:p>
        </w:tc>
        <w:tc>
          <w:tcPr>
            <w:tcW w:w="2243" w:type="dxa"/>
            <w:tcBorders>
              <w:top w:val="none" w:sz="4" w:space="0" w:color="000000"/>
              <w:left w:val="none" w:sz="4" w:space="0" w:color="000000"/>
              <w:bottom w:val="single" w:sz="8" w:space="0" w:color="BFBFBF"/>
              <w:right w:val="single" w:sz="8" w:space="0" w:color="BFBFBF"/>
            </w:tcBorders>
            <w:shd w:val="clear" w:color="F2F2F2" w:fill="F2F2F2"/>
            <w:tcMar>
              <w:top w:w="0" w:type="dxa"/>
              <w:left w:w="108" w:type="dxa"/>
              <w:bottom w:w="0" w:type="dxa"/>
              <w:right w:w="108" w:type="dxa"/>
            </w:tcMar>
            <w:vAlign w:val="center"/>
          </w:tcPr>
          <w:p w:rsidR="000C50BE" w:rsidRDefault="000C50BE">
            <w:pPr>
              <w:pBdr>
                <w:top w:val="none" w:sz="4" w:space="0" w:color="000000"/>
                <w:left w:val="none" w:sz="4" w:space="0" w:color="000000"/>
                <w:bottom w:val="none" w:sz="4" w:space="0" w:color="000000"/>
                <w:right w:val="none" w:sz="4" w:space="0" w:color="000000"/>
              </w:pBdr>
              <w:spacing w:after="0"/>
              <w:jc w:val="center"/>
              <w:rPr>
                <w:color w:val="000000"/>
                <w:sz w:val="24"/>
              </w:rPr>
            </w:pPr>
          </w:p>
          <w:p w:rsidR="000C50BE" w:rsidRDefault="003D201F">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r>
              <w:rPr>
                <w:rFonts w:ascii="Times New Roman" w:eastAsia="Times New Roman" w:hAnsi="Times New Roman"/>
                <w:color w:val="000000" w:themeColor="text1"/>
                <w:sz w:val="24"/>
              </w:rPr>
              <w:t xml:space="preserve">8 063,2  </w:t>
            </w:r>
          </w:p>
        </w:tc>
      </w:tr>
      <w:tr w:rsidR="000C50BE" w:rsidTr="003D201F">
        <w:tc>
          <w:tcPr>
            <w:tcW w:w="718" w:type="dxa"/>
            <w:tcBorders>
              <w:top w:val="none" w:sz="4" w:space="0" w:color="000000"/>
              <w:left w:val="single" w:sz="8" w:space="0" w:color="BFBFBF"/>
              <w:bottom w:val="single" w:sz="8" w:space="0" w:color="BFBFBF"/>
              <w:right w:val="single" w:sz="8" w:space="0" w:color="BFBFBF"/>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color w:val="000000"/>
                <w:sz w:val="24"/>
              </w:rPr>
            </w:pPr>
            <w:r>
              <w:rPr>
                <w:rFonts w:ascii="Times New Roman" w:eastAsia="Times New Roman" w:hAnsi="Times New Roman"/>
                <w:color w:val="000000" w:themeColor="text1"/>
                <w:sz w:val="24"/>
              </w:rPr>
              <w:t>2</w:t>
            </w:r>
          </w:p>
        </w:tc>
        <w:tc>
          <w:tcPr>
            <w:tcW w:w="4517" w:type="dxa"/>
            <w:tcBorders>
              <w:top w:val="none" w:sz="4" w:space="0" w:color="000000"/>
              <w:left w:val="none" w:sz="4" w:space="0" w:color="000000"/>
              <w:bottom w:val="single" w:sz="8" w:space="0" w:color="BFBFBF"/>
              <w:right w:val="single" w:sz="8" w:space="0" w:color="BFBFBF"/>
            </w:tcBorders>
            <w:tcMar>
              <w:top w:w="0" w:type="dxa"/>
              <w:left w:w="108" w:type="dxa"/>
              <w:bottom w:w="0" w:type="dxa"/>
              <w:right w:w="108" w:type="dxa"/>
            </w:tcMar>
            <w:vAlign w:val="center"/>
          </w:tcPr>
          <w:p w:rsidR="000C50BE" w:rsidRDefault="003D201F">
            <w:pPr>
              <w:pBdr>
                <w:top w:val="none" w:sz="4" w:space="0" w:color="000000"/>
                <w:left w:val="none" w:sz="4" w:space="0" w:color="000000"/>
                <w:bottom w:val="none" w:sz="4" w:space="0" w:color="000000"/>
                <w:right w:val="none" w:sz="4" w:space="0" w:color="000000"/>
              </w:pBdr>
              <w:spacing w:after="0"/>
              <w:rPr>
                <w:color w:val="000000"/>
                <w:sz w:val="24"/>
              </w:rPr>
            </w:pPr>
            <w:r>
              <w:rPr>
                <w:rFonts w:ascii="Times New Roman" w:eastAsia="Times New Roman" w:hAnsi="Times New Roman"/>
                <w:color w:val="000000" w:themeColor="text1"/>
                <w:sz w:val="24"/>
              </w:rPr>
              <w:t>Ремонт автомобильной дороги по ул. Заводская от дома №194 до дома №157Б в с. Майма, Республика Алтай</w:t>
            </w:r>
          </w:p>
        </w:tc>
        <w:tc>
          <w:tcPr>
            <w:tcW w:w="1985" w:type="dxa"/>
            <w:tcBorders>
              <w:top w:val="none" w:sz="4" w:space="0" w:color="000000"/>
              <w:left w:val="none" w:sz="4" w:space="0" w:color="000000"/>
              <w:bottom w:val="single" w:sz="8" w:space="0" w:color="BFBFBF"/>
              <w:right w:val="single" w:sz="8" w:space="0" w:color="BFBFBF"/>
            </w:tcBorders>
            <w:tcMar>
              <w:top w:w="0" w:type="dxa"/>
              <w:left w:w="108" w:type="dxa"/>
              <w:bottom w:w="0" w:type="dxa"/>
              <w:right w:w="108" w:type="dxa"/>
            </w:tcMar>
          </w:tcPr>
          <w:p w:rsidR="000C50BE" w:rsidRDefault="000C50BE">
            <w:pPr>
              <w:pBdr>
                <w:top w:val="none" w:sz="4" w:space="0" w:color="000000"/>
                <w:left w:val="none" w:sz="4" w:space="0" w:color="000000"/>
                <w:bottom w:val="none" w:sz="4" w:space="0" w:color="000000"/>
                <w:right w:val="none" w:sz="4" w:space="0" w:color="000000"/>
              </w:pBdr>
              <w:spacing w:after="0"/>
              <w:jc w:val="center"/>
              <w:rPr>
                <w:color w:val="000000"/>
                <w:sz w:val="24"/>
              </w:rPr>
            </w:pPr>
          </w:p>
          <w:p w:rsidR="000C50BE" w:rsidRDefault="003D201F">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r>
              <w:rPr>
                <w:rFonts w:ascii="Times New Roman" w:eastAsia="Times New Roman" w:hAnsi="Times New Roman"/>
                <w:color w:val="000000" w:themeColor="text1"/>
                <w:sz w:val="24"/>
              </w:rPr>
              <w:t>0,561</w:t>
            </w:r>
          </w:p>
        </w:tc>
        <w:tc>
          <w:tcPr>
            <w:tcW w:w="2243" w:type="dxa"/>
            <w:tcBorders>
              <w:top w:val="none" w:sz="4" w:space="0" w:color="000000"/>
              <w:left w:val="none" w:sz="4" w:space="0" w:color="000000"/>
              <w:bottom w:val="single" w:sz="8" w:space="0" w:color="BFBFBF"/>
              <w:right w:val="single" w:sz="8" w:space="0" w:color="BFBFBF"/>
            </w:tcBorders>
            <w:tcMar>
              <w:top w:w="0" w:type="dxa"/>
              <w:left w:w="108" w:type="dxa"/>
              <w:bottom w:w="0" w:type="dxa"/>
              <w:right w:w="108" w:type="dxa"/>
            </w:tcMar>
            <w:vAlign w:val="center"/>
          </w:tcPr>
          <w:p w:rsidR="000C50BE" w:rsidRDefault="003D201F">
            <w:pPr>
              <w:pBdr>
                <w:top w:val="none" w:sz="4" w:space="0" w:color="000000"/>
                <w:left w:val="none" w:sz="4" w:space="0" w:color="000000"/>
                <w:bottom w:val="none" w:sz="4" w:space="0" w:color="000000"/>
                <w:right w:val="none" w:sz="4" w:space="0" w:color="000000"/>
              </w:pBdr>
              <w:spacing w:after="0"/>
              <w:jc w:val="center"/>
              <w:rPr>
                <w:color w:val="000000"/>
                <w:sz w:val="24"/>
              </w:rPr>
            </w:pPr>
            <w:r>
              <w:rPr>
                <w:rFonts w:ascii="Times New Roman" w:eastAsia="Times New Roman" w:hAnsi="Times New Roman"/>
                <w:color w:val="000000" w:themeColor="text1"/>
                <w:sz w:val="24"/>
              </w:rPr>
              <w:t xml:space="preserve">7 000,1  </w:t>
            </w:r>
          </w:p>
        </w:tc>
      </w:tr>
      <w:tr w:rsidR="000C50BE" w:rsidTr="003D201F">
        <w:tc>
          <w:tcPr>
            <w:tcW w:w="718" w:type="dxa"/>
            <w:tcBorders>
              <w:top w:val="none" w:sz="4" w:space="0" w:color="000000"/>
              <w:left w:val="single" w:sz="8" w:space="0" w:color="BFBFBF"/>
              <w:bottom w:val="single" w:sz="8" w:space="0" w:color="BFBFBF"/>
              <w:right w:val="single" w:sz="8" w:space="0" w:color="BFBFBF"/>
            </w:tcBorders>
            <w:shd w:val="clear" w:color="F2F2F2" w:fill="F2F2F2"/>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color w:val="000000"/>
                <w:sz w:val="24"/>
              </w:rPr>
            </w:pPr>
            <w:r>
              <w:rPr>
                <w:rFonts w:ascii="Times New Roman" w:eastAsia="Times New Roman" w:hAnsi="Times New Roman"/>
                <w:color w:val="000000" w:themeColor="text1"/>
                <w:sz w:val="24"/>
              </w:rPr>
              <w:t>3</w:t>
            </w:r>
          </w:p>
        </w:tc>
        <w:tc>
          <w:tcPr>
            <w:tcW w:w="4517" w:type="dxa"/>
            <w:tcBorders>
              <w:top w:val="none" w:sz="4" w:space="0" w:color="000000"/>
              <w:left w:val="none" w:sz="4" w:space="0" w:color="000000"/>
              <w:bottom w:val="single" w:sz="8" w:space="0" w:color="BFBFBF"/>
              <w:right w:val="single" w:sz="8" w:space="0" w:color="BFBFBF"/>
            </w:tcBorders>
            <w:shd w:val="clear" w:color="F2F2F2" w:fill="F2F2F2"/>
            <w:tcMar>
              <w:top w:w="0" w:type="dxa"/>
              <w:left w:w="108" w:type="dxa"/>
              <w:bottom w:w="0" w:type="dxa"/>
              <w:right w:w="108" w:type="dxa"/>
            </w:tcMar>
            <w:vAlign w:val="center"/>
          </w:tcPr>
          <w:p w:rsidR="000C50BE" w:rsidRDefault="003D201F">
            <w:pPr>
              <w:pBdr>
                <w:top w:val="none" w:sz="4" w:space="0" w:color="000000"/>
                <w:left w:val="none" w:sz="4" w:space="0" w:color="000000"/>
                <w:bottom w:val="none" w:sz="4" w:space="0" w:color="000000"/>
                <w:right w:val="none" w:sz="4" w:space="0" w:color="000000"/>
              </w:pBdr>
              <w:spacing w:after="0"/>
              <w:rPr>
                <w:color w:val="000000"/>
                <w:sz w:val="24"/>
              </w:rPr>
            </w:pPr>
            <w:r>
              <w:rPr>
                <w:rFonts w:ascii="Times New Roman" w:eastAsia="Times New Roman" w:hAnsi="Times New Roman"/>
                <w:color w:val="000000" w:themeColor="text1"/>
                <w:sz w:val="24"/>
              </w:rPr>
              <w:t>Ремонт автомобильной дороги по ул. Источная от примыкания к ул. Ленина до перекрестка ул. Источная, ул. Майская, ул. Солнечная в с. Майма, Республики Алтай, Ремонт автомобильной дороги по ул. Солнечная в с. Майма, Республики Алтай. ул. Солнечная от примыкания. к ул. Папардэ до перекрестка ул. Источная, ул. Майская, ул. Солнечная</w:t>
            </w:r>
          </w:p>
        </w:tc>
        <w:tc>
          <w:tcPr>
            <w:tcW w:w="1985" w:type="dxa"/>
            <w:tcBorders>
              <w:top w:val="none" w:sz="4" w:space="0" w:color="000000"/>
              <w:left w:val="none" w:sz="4" w:space="0" w:color="000000"/>
              <w:bottom w:val="single" w:sz="8" w:space="0" w:color="BFBFBF"/>
              <w:right w:val="single" w:sz="8" w:space="0" w:color="BFBFBF"/>
            </w:tcBorders>
            <w:shd w:val="clear" w:color="F2F2F2" w:fill="F2F2F2"/>
            <w:tcMar>
              <w:top w:w="0" w:type="dxa"/>
              <w:left w:w="108" w:type="dxa"/>
              <w:bottom w:w="0" w:type="dxa"/>
              <w:right w:w="108" w:type="dxa"/>
            </w:tcMar>
          </w:tcPr>
          <w:p w:rsidR="000C50BE" w:rsidRDefault="000C50BE">
            <w:pPr>
              <w:pBdr>
                <w:top w:val="none" w:sz="4" w:space="0" w:color="000000"/>
                <w:left w:val="none" w:sz="4" w:space="0" w:color="000000"/>
                <w:bottom w:val="none" w:sz="4" w:space="0" w:color="000000"/>
                <w:right w:val="none" w:sz="4" w:space="0" w:color="000000"/>
              </w:pBdr>
              <w:spacing w:after="0"/>
              <w:jc w:val="center"/>
              <w:rPr>
                <w:color w:val="000000"/>
                <w:sz w:val="24"/>
              </w:rPr>
            </w:pPr>
          </w:p>
          <w:p w:rsidR="000C50BE" w:rsidRDefault="000C50BE">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p>
          <w:p w:rsidR="000C50BE" w:rsidRDefault="000C50BE">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p>
          <w:p w:rsidR="000C50BE" w:rsidRDefault="000C50BE">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p>
          <w:p w:rsidR="000C50BE" w:rsidRDefault="000C50BE">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p>
          <w:p w:rsidR="000C50BE" w:rsidRDefault="003D201F">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r>
              <w:rPr>
                <w:rFonts w:ascii="Times New Roman" w:eastAsia="Times New Roman" w:hAnsi="Times New Roman"/>
                <w:color w:val="000000" w:themeColor="text1"/>
                <w:sz w:val="24"/>
              </w:rPr>
              <w:t>1,227</w:t>
            </w:r>
          </w:p>
        </w:tc>
        <w:tc>
          <w:tcPr>
            <w:tcW w:w="2243" w:type="dxa"/>
            <w:tcBorders>
              <w:top w:val="none" w:sz="4" w:space="0" w:color="000000"/>
              <w:left w:val="none" w:sz="4" w:space="0" w:color="000000"/>
              <w:bottom w:val="single" w:sz="8" w:space="0" w:color="BFBFBF"/>
              <w:right w:val="single" w:sz="8" w:space="0" w:color="BFBFBF"/>
            </w:tcBorders>
            <w:shd w:val="clear" w:color="F2F2F2" w:fill="F2F2F2"/>
            <w:tcMar>
              <w:top w:w="0" w:type="dxa"/>
              <w:left w:w="108" w:type="dxa"/>
              <w:bottom w:w="0" w:type="dxa"/>
              <w:right w:w="108" w:type="dxa"/>
            </w:tcMar>
            <w:vAlign w:val="center"/>
          </w:tcPr>
          <w:p w:rsidR="000C50BE" w:rsidRDefault="000C50BE">
            <w:pPr>
              <w:pBdr>
                <w:top w:val="none" w:sz="4" w:space="0" w:color="000000"/>
                <w:left w:val="none" w:sz="4" w:space="0" w:color="000000"/>
                <w:bottom w:val="none" w:sz="4" w:space="0" w:color="000000"/>
                <w:right w:val="none" w:sz="4" w:space="0" w:color="000000"/>
              </w:pBdr>
              <w:spacing w:after="0"/>
              <w:jc w:val="center"/>
              <w:rPr>
                <w:color w:val="000000"/>
                <w:sz w:val="24"/>
              </w:rPr>
            </w:pPr>
          </w:p>
          <w:p w:rsidR="000C50BE" w:rsidRDefault="003D201F">
            <w:pPr>
              <w:pBdr>
                <w:top w:val="none" w:sz="4" w:space="0" w:color="000000"/>
                <w:left w:val="none" w:sz="4" w:space="0" w:color="000000"/>
                <w:bottom w:val="none" w:sz="4" w:space="0" w:color="000000"/>
                <w:right w:val="none" w:sz="4" w:space="0" w:color="000000"/>
              </w:pBdr>
              <w:spacing w:after="0"/>
              <w:jc w:val="center"/>
              <w:rPr>
                <w:rFonts w:ascii="Times New Roman" w:eastAsia="Times New Roman" w:hAnsi="Times New Roman"/>
                <w:color w:val="000000"/>
                <w:sz w:val="24"/>
              </w:rPr>
            </w:pPr>
            <w:r>
              <w:rPr>
                <w:rFonts w:ascii="Times New Roman" w:eastAsia="Times New Roman" w:hAnsi="Times New Roman"/>
                <w:color w:val="000000" w:themeColor="text1"/>
                <w:sz w:val="24"/>
              </w:rPr>
              <w:t xml:space="preserve">25 737,7  </w:t>
            </w:r>
          </w:p>
        </w:tc>
      </w:tr>
      <w:tr w:rsidR="000C50BE" w:rsidTr="003D201F">
        <w:trPr>
          <w:trHeight w:val="209"/>
        </w:trPr>
        <w:tc>
          <w:tcPr>
            <w:tcW w:w="718" w:type="dxa"/>
            <w:tcBorders>
              <w:top w:val="none" w:sz="4" w:space="0" w:color="000000"/>
              <w:left w:val="single" w:sz="8" w:space="0" w:color="BFBFBF"/>
              <w:bottom w:val="single" w:sz="8" w:space="0" w:color="BFBFBF"/>
              <w:right w:val="single" w:sz="8" w:space="0" w:color="BFBFBF"/>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sz w:val="24"/>
              </w:rPr>
            </w:pPr>
            <w:r>
              <w:rPr>
                <w:rFonts w:ascii="Times New Roman" w:eastAsia="Times New Roman" w:hAnsi="Times New Roman"/>
                <w:b/>
                <w:color w:val="000000"/>
                <w:sz w:val="20"/>
              </w:rPr>
              <w:t>Всего</w:t>
            </w:r>
          </w:p>
        </w:tc>
        <w:tc>
          <w:tcPr>
            <w:tcW w:w="4517" w:type="dxa"/>
            <w:tcBorders>
              <w:top w:val="none" w:sz="4" w:space="0" w:color="000000"/>
              <w:left w:val="none" w:sz="4" w:space="0" w:color="000000"/>
              <w:bottom w:val="single" w:sz="8" w:space="0" w:color="BFBFBF"/>
              <w:right w:val="single" w:sz="8" w:space="0" w:color="BFBFBF"/>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rPr>
                <w:sz w:val="24"/>
              </w:rPr>
            </w:pPr>
            <w:r>
              <w:rPr>
                <w:rFonts w:ascii="Times New Roman" w:eastAsia="Times New Roman" w:hAnsi="Times New Roman"/>
                <w:color w:val="000000"/>
                <w:sz w:val="24"/>
              </w:rPr>
              <w:t> </w:t>
            </w:r>
          </w:p>
        </w:tc>
        <w:tc>
          <w:tcPr>
            <w:tcW w:w="1985" w:type="dxa"/>
            <w:tcBorders>
              <w:top w:val="none" w:sz="4" w:space="0" w:color="000000"/>
              <w:left w:val="none" w:sz="4" w:space="0" w:color="000000"/>
              <w:bottom w:val="single" w:sz="8" w:space="0" w:color="BFBFBF"/>
              <w:right w:val="single" w:sz="8" w:space="0" w:color="BFBFBF"/>
            </w:tcBorders>
            <w:tcMar>
              <w:top w:w="0" w:type="dxa"/>
              <w:left w:w="108" w:type="dxa"/>
              <w:bottom w:w="0" w:type="dxa"/>
              <w:right w:w="108" w:type="dxa"/>
            </w:tcMar>
          </w:tcPr>
          <w:p w:rsidR="000C50BE" w:rsidRDefault="003D201F">
            <w:pPr>
              <w:pBdr>
                <w:top w:val="none" w:sz="4" w:space="0" w:color="000000"/>
                <w:left w:val="none" w:sz="4" w:space="0" w:color="000000"/>
                <w:bottom w:val="none" w:sz="4" w:space="0" w:color="000000"/>
                <w:right w:val="none" w:sz="4" w:space="0" w:color="000000"/>
              </w:pBdr>
              <w:spacing w:after="0"/>
              <w:jc w:val="center"/>
              <w:rPr>
                <w:sz w:val="24"/>
              </w:rPr>
            </w:pPr>
            <w:r>
              <w:rPr>
                <w:rFonts w:ascii="Times New Roman" w:eastAsia="Times New Roman" w:hAnsi="Times New Roman"/>
                <w:color w:val="000000"/>
                <w:sz w:val="24"/>
              </w:rPr>
              <w:t>2,485</w:t>
            </w:r>
          </w:p>
        </w:tc>
        <w:tc>
          <w:tcPr>
            <w:tcW w:w="2243" w:type="dxa"/>
            <w:tcBorders>
              <w:top w:val="none" w:sz="4" w:space="0" w:color="000000"/>
              <w:left w:val="none" w:sz="4" w:space="0" w:color="000000"/>
              <w:bottom w:val="single" w:sz="8" w:space="0" w:color="BFBFBF"/>
              <w:right w:val="single" w:sz="8" w:space="0" w:color="BFBFBF"/>
            </w:tcBorders>
            <w:tcMar>
              <w:top w:w="0" w:type="dxa"/>
              <w:left w:w="108" w:type="dxa"/>
              <w:bottom w:w="0" w:type="dxa"/>
              <w:right w:w="108" w:type="dxa"/>
            </w:tcMar>
            <w:vAlign w:val="center"/>
          </w:tcPr>
          <w:p w:rsidR="000C50BE" w:rsidRDefault="003D201F">
            <w:pPr>
              <w:pBdr>
                <w:top w:val="none" w:sz="4" w:space="0" w:color="000000"/>
                <w:left w:val="none" w:sz="4" w:space="0" w:color="000000"/>
                <w:bottom w:val="none" w:sz="4" w:space="0" w:color="000000"/>
                <w:right w:val="none" w:sz="4" w:space="0" w:color="000000"/>
              </w:pBdr>
              <w:spacing w:after="0"/>
              <w:jc w:val="center"/>
              <w:rPr>
                <w:sz w:val="24"/>
              </w:rPr>
            </w:pPr>
            <w:r>
              <w:rPr>
                <w:rFonts w:ascii="Times New Roman" w:eastAsia="Times New Roman" w:hAnsi="Times New Roman"/>
                <w:color w:val="000000"/>
                <w:sz w:val="24"/>
              </w:rPr>
              <w:t xml:space="preserve">40 801,0  </w:t>
            </w:r>
          </w:p>
        </w:tc>
      </w:tr>
    </w:tbl>
    <w:p w:rsidR="000C50BE" w:rsidRDefault="000C50BE">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p>
    <w:p w:rsidR="000C50BE" w:rsidRDefault="000C50BE">
      <w:pPr>
        <w:spacing w:after="0" w:line="240" w:lineRule="auto"/>
        <w:ind w:firstLine="709"/>
        <w:jc w:val="both"/>
        <w:rPr>
          <w:rFonts w:ascii="Times New Roman" w:hAnsi="Times New Roman"/>
          <w:b/>
          <w:bCs/>
          <w:sz w:val="24"/>
          <w:szCs w:val="24"/>
        </w:rPr>
      </w:pPr>
    </w:p>
    <w:p w:rsidR="000C50BE" w:rsidRDefault="003D201F">
      <w:pPr>
        <w:spacing w:after="0" w:line="240" w:lineRule="auto"/>
        <w:ind w:firstLine="709"/>
        <w:jc w:val="both"/>
      </w:pPr>
      <w:r>
        <w:rPr>
          <w:rFonts w:ascii="Times New Roman" w:hAnsi="Times New Roman"/>
          <w:b/>
          <w:bCs/>
          <w:sz w:val="24"/>
          <w:szCs w:val="24"/>
        </w:rPr>
        <w:t xml:space="preserve">Раздел </w:t>
      </w:r>
      <w:r>
        <w:rPr>
          <w:rFonts w:ascii="Times New Roman" w:hAnsi="Times New Roman"/>
          <w:b/>
          <w:bCs/>
          <w:sz w:val="24"/>
          <w:szCs w:val="24"/>
          <w:lang w:val="en-US"/>
        </w:rPr>
        <w:t>III</w:t>
      </w:r>
      <w:r>
        <w:rPr>
          <w:rFonts w:ascii="Times New Roman" w:hAnsi="Times New Roman"/>
          <w:b/>
          <w:bCs/>
          <w:sz w:val="24"/>
          <w:szCs w:val="24"/>
        </w:rPr>
        <w:t>. Инвестиционная привлекательность</w:t>
      </w:r>
    </w:p>
    <w:p w:rsidR="000C50BE" w:rsidRDefault="003D201F">
      <w:pPr>
        <w:spacing w:after="0" w:line="240" w:lineRule="auto"/>
        <w:ind w:firstLine="709"/>
        <w:jc w:val="both"/>
        <w:rPr>
          <w:rFonts w:ascii="Times New Roman" w:hAnsi="Times New Roman"/>
          <w:b/>
          <w:sz w:val="24"/>
          <w:szCs w:val="24"/>
        </w:rPr>
      </w:pPr>
      <w:r>
        <w:rPr>
          <w:rFonts w:ascii="Times New Roman" w:hAnsi="Times New Roman"/>
          <w:b/>
          <w:bCs/>
          <w:sz w:val="24"/>
          <w:szCs w:val="24"/>
        </w:rPr>
        <w:t>3.1. Инвестиции в основной капитал</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rPr>
        <w:t>В МО «Майминский район» объем инвестиций в основной капитал на 01.01.2022 г. составил: </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rPr>
        <w:t>по организациям, не относящимся к субъектам малого предпринимательства (крупные и средние организации) – 3 538,963 млн. руб. (ИФО - 141,7 % к 2020 г. в сопоставимых ценах). Из них инвестиции в основной капитал: </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rPr>
        <w:t>- за счет бюджетных средств – 751,152 млн. руб. (темп роста 81,3 % к 01.01.2021 г. в текущих ценах), </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rPr>
        <w:t>- за счет внебюджетных источников – 2 787,811 млн. руб. (темп роста 308,3 % к 01.01.2021 г. в текущих ценах), на душу населения - 80,540 тыс. руб. (темп роста 307,9 % к 01.01.2021 г. в текущих ценах). </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i/>
          <w:color w:val="000000"/>
          <w:sz w:val="24"/>
        </w:rPr>
        <w:t> (информация по крупным и средним организациям)</w:t>
      </w:r>
      <w:r>
        <w:rPr>
          <w:rFonts w:ascii="Times New Roman" w:eastAsia="Times New Roman" w:hAnsi="Times New Roman"/>
          <w:color w:val="000000"/>
          <w:sz w:val="24"/>
        </w:rPr>
        <w:t> </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rPr>
          <w:color w:val="000000"/>
        </w:rPr>
      </w:pPr>
      <w:r>
        <w:rPr>
          <w:rFonts w:ascii="Times New Roman" w:eastAsia="Times New Roman" w:hAnsi="Times New Roman"/>
          <w:color w:val="000000"/>
          <w:sz w:val="24"/>
        </w:rPr>
        <w:t xml:space="preserve">Динамика инвестиций в основной капитал по крупным и средним организациям представлена на рисунке 1. Анализируя диаграмму, можно сделать вывод о том, что показатель данный показатель в период с 2017 по 2019 гг. имел положительную динамику. Существенное снижение объема инвестиций в 2020 г. обусловлено неблагоприятной санитарно-эпидемиологической ситуацией в Республике Алтай и России в целом. В 2021 г.  данный показатель демонстрирует существенный рост (темп роста к 2020 г. – 193,6%), главной причиной которого можно считать восстановление </w:t>
      </w:r>
      <w:r>
        <w:rPr>
          <w:rFonts w:ascii="Times New Roman" w:eastAsia="Times New Roman" w:hAnsi="Times New Roman"/>
          <w:color w:val="000000" w:themeColor="text1"/>
          <w:sz w:val="24"/>
          <w:highlight w:val="white"/>
        </w:rPr>
        <w:t>экономики после пандемического кризиса.</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rPr>
          <w:rFonts w:ascii="Times New Roman" w:eastAsia="Times New Roman" w:hAnsi="Times New Roman"/>
          <w:color w:val="000000"/>
          <w:sz w:val="24"/>
        </w:rPr>
      </w:pPr>
      <w:r>
        <w:rPr>
          <w:rFonts w:ascii="Times New Roman" w:eastAsia="Times New Roman" w:hAnsi="Times New Roman"/>
          <w:color w:val="000000"/>
          <w:sz w:val="24"/>
        </w:rPr>
        <w:t> </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rPr>
          <w:rFonts w:ascii="Times New Roman" w:eastAsia="Times New Roman" w:hAnsi="Times New Roman"/>
          <w:sz w:val="24"/>
        </w:rPr>
      </w:pPr>
      <w:r>
        <w:rPr>
          <w:noProof/>
          <w:lang w:eastAsia="ru-RU"/>
        </w:rPr>
        <mc:AlternateContent>
          <mc:Choice Requires="wpg">
            <w:drawing>
              <wp:inline distT="0" distB="0" distL="0" distR="0">
                <wp:extent cx="5133975" cy="3267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026415" name=""/>
                        <pic:cNvPicPr>
                          <a:picLocks noChangeAspect="1"/>
                        </pic:cNvPicPr>
                      </pic:nvPicPr>
                      <pic:blipFill>
                        <a:blip r:embed="rId8"/>
                        <a:stretch/>
                      </pic:blipFill>
                      <pic:spPr bwMode="auto">
                        <a:xfrm>
                          <a:off x="0" y="0"/>
                          <a:ext cx="5133974" cy="3267074"/>
                        </a:xfrm>
                        <a:prstGeom prst="rect">
                          <a:avLst/>
                        </a:prstGeom>
                      </pic:spPr>
                    </pic:pic>
                  </a:graphicData>
                </a:graphic>
              </wp:inline>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04.2pt;height:257.2pt;" stroked="false">
                <v:path textboxrect="0,0,0,0"/>
                <v:imagedata r:id="rId9" o:title=""/>
              </v:shape>
            </w:pict>
          </mc:Fallback>
        </mc:AlternateConten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w:t>
      </w:r>
    </w:p>
    <w:p w:rsidR="000C50BE" w:rsidRDefault="003D201F">
      <w:pPr>
        <w:pBdr>
          <w:top w:val="none" w:sz="4" w:space="0" w:color="000000"/>
          <w:left w:val="none" w:sz="4" w:space="0" w:color="000000"/>
          <w:bottom w:val="none" w:sz="4" w:space="0" w:color="000000"/>
          <w:right w:val="none" w:sz="4" w:space="0" w:color="000000"/>
        </w:pBdr>
        <w:spacing w:after="0"/>
        <w:ind w:firstLine="705"/>
        <w:jc w:val="center"/>
      </w:pPr>
      <w:r>
        <w:rPr>
          <w:rFonts w:ascii="Times New Roman" w:eastAsia="Times New Roman" w:hAnsi="Times New Roman"/>
          <w:i/>
          <w:color w:val="000000"/>
          <w:sz w:val="24"/>
        </w:rPr>
        <w:t>Рисунок 1. Объем инвестиций в основной капитал (по крупным и средним организациям) за 2017-2021 гг.</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rPr>
          <w:rFonts w:ascii="Times New Roman" w:eastAsia="Times New Roman" w:hAnsi="Times New Roman"/>
          <w:color w:val="FF0000"/>
          <w:sz w:val="24"/>
        </w:rPr>
      </w:pPr>
      <w:r>
        <w:rPr>
          <w:rFonts w:ascii="Times New Roman" w:eastAsia="Times New Roman" w:hAnsi="Times New Roman"/>
          <w:color w:val="FF0000"/>
          <w:sz w:val="24"/>
        </w:rPr>
        <w:t> </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rPr>
          <w:rFonts w:ascii="Times New Roman" w:eastAsia="Times New Roman" w:hAnsi="Times New Roman"/>
          <w:b/>
          <w:i/>
          <w:color w:val="000000"/>
          <w:sz w:val="24"/>
        </w:rPr>
      </w:pPr>
      <w:r>
        <w:rPr>
          <w:rFonts w:ascii="Times New Roman" w:eastAsia="Times New Roman" w:hAnsi="Times New Roman"/>
          <w:b/>
          <w:i/>
          <w:color w:val="000000"/>
          <w:sz w:val="24"/>
        </w:rPr>
        <w:t>Причинами существенного увеличения  внебюджетных инвестиций являются:</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u w:val="single"/>
        </w:rPr>
        <w:t xml:space="preserve">Деятельность в области культуры, спорта, организации досуга и развлечений: </w:t>
      </w:r>
      <w:r>
        <w:rPr>
          <w:rFonts w:ascii="Times New Roman" w:eastAsia="Times New Roman" w:hAnsi="Times New Roman"/>
          <w:color w:val="000000"/>
          <w:sz w:val="24"/>
        </w:rPr>
        <w:t>01.01.2022 г. – 2 180,0 млн. руб., на 01.01.2021 г. – 626,3 млн. руб., ИФО – 328,6 %. Существенное увеличение данного показателя связано с восстановлением работы объектов сферы спорта, досуга и развлечений и с благоприятным туристическим сезоном в Майминском районе и Республике Алтай в целом.</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u w:val="single"/>
        </w:rPr>
        <w:t xml:space="preserve">Торговля оптовая и розничная; ремонт автотранспортных средств и мотоциклов: </w:t>
      </w:r>
      <w:r>
        <w:rPr>
          <w:rFonts w:ascii="Times New Roman" w:eastAsia="Times New Roman" w:hAnsi="Times New Roman"/>
          <w:color w:val="000000"/>
          <w:sz w:val="24"/>
        </w:rPr>
        <w:t>01.01.2022 г. – 42,9 млн. руб., на 01.01.2021 г. – 21,7 млн. руб., ИФО – 186,6 %. Положительная динамика обусловлена открытием на территории Майминского района новых торговых точек.</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u w:val="single"/>
        </w:rPr>
        <w:t>Обеспечение электрической энергией, газом и паром; кондиционирование воздуха</w:t>
      </w:r>
      <w:r>
        <w:rPr>
          <w:rFonts w:ascii="Times New Roman" w:eastAsia="Times New Roman" w:hAnsi="Times New Roman"/>
          <w:color w:val="000000"/>
          <w:sz w:val="24"/>
        </w:rPr>
        <w:t>: 01.01.2022 г. – 149,1 млн. руб., на 01.01.2021 г. – 80,6 млн. руб., ИФО – 174,7 %. Рост данного показателя связан с обслуживанием солнечной электростанции и строительством (реконструкцией) объектов электроэнергетики филиалом ПАО «Россети Сибирь».</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b/>
          <w:i/>
          <w:color w:val="000000"/>
          <w:sz w:val="24"/>
        </w:rPr>
        <w:t>Причинами снижения бюджетных инвестиций являются:</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u w:val="single"/>
        </w:rPr>
        <w:t>транспортировка и хранение</w:t>
      </w:r>
      <w:r>
        <w:rPr>
          <w:rFonts w:ascii="Times New Roman" w:eastAsia="Times New Roman" w:hAnsi="Times New Roman"/>
          <w:color w:val="000000"/>
          <w:sz w:val="24"/>
        </w:rPr>
        <w:t>: на 01.01.2022 г. – 431,0 млн. руб., на 01.01.2021 г. – 659,0 млн. руб., ИФР – 61,7 %. Отрицательная динамика данного показателя обусловлена завершением строительства второго этапа автомобильной дороги «Урлу-Аспак – Каракол».</w:t>
      </w:r>
    </w:p>
    <w:p w:rsidR="000C50BE" w:rsidRDefault="003D201F">
      <w:pPr>
        <w:pBdr>
          <w:top w:val="none" w:sz="4" w:space="0" w:color="000000"/>
          <w:left w:val="none" w:sz="4" w:space="0" w:color="000000"/>
          <w:bottom w:val="none" w:sz="4" w:space="0" w:color="000000"/>
          <w:right w:val="none" w:sz="4" w:space="0" w:color="000000"/>
        </w:pBdr>
        <w:spacing w:after="0"/>
        <w:ind w:firstLine="705"/>
        <w:jc w:val="both"/>
      </w:pPr>
      <w:r>
        <w:rPr>
          <w:rFonts w:ascii="Times New Roman" w:eastAsia="Times New Roman" w:hAnsi="Times New Roman"/>
          <w:color w:val="000000"/>
          <w:sz w:val="24"/>
          <w:u w:val="single"/>
        </w:rPr>
        <w:t xml:space="preserve">Деятельность в области здравоохранения и социальных услуг: </w:t>
      </w:r>
      <w:r>
        <w:rPr>
          <w:rFonts w:ascii="Times New Roman" w:eastAsia="Times New Roman" w:hAnsi="Times New Roman"/>
          <w:color w:val="000000"/>
          <w:sz w:val="24"/>
        </w:rPr>
        <w:t>01.01.2022 г. – 8,14 млн. руб., на 01.01.2021 г. – 54,15 млн. руб., ИФО – 14,2 %. Снижение объема инвестиций связано с завершением строительства больничного корпуса по адресу с. Майма, ул. Строителей 6, к. 1.</w:t>
      </w:r>
    </w:p>
    <w:p w:rsidR="000C50BE" w:rsidRPr="003D201F" w:rsidRDefault="003D201F">
      <w:pPr>
        <w:pBdr>
          <w:top w:val="none" w:sz="4" w:space="0" w:color="000000"/>
          <w:left w:val="none" w:sz="4" w:space="0" w:color="000000"/>
          <w:bottom w:val="none" w:sz="4" w:space="0" w:color="000000"/>
          <w:right w:val="none" w:sz="4" w:space="0" w:color="000000"/>
        </w:pBdr>
        <w:spacing w:after="0"/>
        <w:ind w:firstLine="705"/>
        <w:jc w:val="both"/>
        <w:rPr>
          <w:color w:val="000000" w:themeColor="text1"/>
        </w:rPr>
      </w:pPr>
      <w:r>
        <w:rPr>
          <w:rFonts w:ascii="Times New Roman" w:eastAsia="Times New Roman" w:hAnsi="Times New Roman"/>
          <w:b/>
          <w:color w:val="000000"/>
          <w:sz w:val="24"/>
        </w:rPr>
        <w:t>На 01.01.2022 г. были реализованы следующие крупные инвестиционные проекты</w:t>
      </w:r>
      <w:r w:rsidRPr="003D201F">
        <w:rPr>
          <w:rFonts w:ascii="Times New Roman" w:eastAsia="Times New Roman" w:hAnsi="Times New Roman"/>
          <w:b/>
          <w:i/>
          <w:color w:val="000000" w:themeColor="text1"/>
          <w:sz w:val="24"/>
        </w:rPr>
        <w:t xml:space="preserve">, </w:t>
      </w:r>
      <w:r w:rsidRPr="003D201F">
        <w:rPr>
          <w:rFonts w:ascii="Times New Roman" w:eastAsia="Times New Roman" w:hAnsi="Times New Roman"/>
          <w:b/>
          <w:color w:val="000000" w:themeColor="text1"/>
          <w:sz w:val="24"/>
        </w:rPr>
        <w:t xml:space="preserve">финансируемые за счет </w:t>
      </w:r>
      <w:r w:rsidRPr="003D201F">
        <w:rPr>
          <w:rFonts w:ascii="Times New Roman" w:eastAsia="Times New Roman" w:hAnsi="Times New Roman"/>
          <w:b/>
          <w:i/>
          <w:color w:val="000000" w:themeColor="text1"/>
          <w:sz w:val="24"/>
        </w:rPr>
        <w:t>частных инвестиций:</w:t>
      </w:r>
    </w:p>
    <w:p w:rsidR="000C50BE" w:rsidRPr="003D201F" w:rsidRDefault="003D201F">
      <w:pPr>
        <w:pBdr>
          <w:top w:val="none" w:sz="4" w:space="0" w:color="000000"/>
          <w:left w:val="none" w:sz="4" w:space="0" w:color="000000"/>
          <w:bottom w:val="none" w:sz="4" w:space="0" w:color="000000"/>
          <w:right w:val="none" w:sz="4" w:space="0" w:color="000000"/>
        </w:pBdr>
        <w:spacing w:after="0"/>
        <w:ind w:firstLine="787"/>
        <w:jc w:val="both"/>
        <w:rPr>
          <w:rFonts w:ascii="Times New Roman" w:eastAsia="Times New Roman" w:hAnsi="Times New Roman"/>
          <w:color w:val="000000" w:themeColor="text1"/>
          <w:sz w:val="24"/>
        </w:rPr>
      </w:pPr>
      <w:r w:rsidRPr="003D201F">
        <w:rPr>
          <w:rFonts w:ascii="Times New Roman" w:eastAsia="Times New Roman" w:hAnsi="Times New Roman"/>
          <w:color w:val="000000" w:themeColor="text1"/>
          <w:sz w:val="24"/>
        </w:rPr>
        <w:t>- строительство объектов туристской инфраструктуры ВК «Манжерок» – 1 068,515 млн. руб. (темп роста объема инвестиций к 2020 г. составил 173,1 %);   </w:t>
      </w:r>
    </w:p>
    <w:p w:rsidR="000C50BE" w:rsidRPr="003D201F" w:rsidRDefault="003D201F">
      <w:pPr>
        <w:pBdr>
          <w:top w:val="none" w:sz="4" w:space="0" w:color="000000"/>
          <w:left w:val="none" w:sz="4" w:space="0" w:color="000000"/>
          <w:bottom w:val="none" w:sz="4" w:space="0" w:color="000000"/>
          <w:right w:val="none" w:sz="4" w:space="0" w:color="000000"/>
        </w:pBdr>
        <w:spacing w:after="0"/>
        <w:ind w:firstLine="708"/>
        <w:jc w:val="both"/>
        <w:rPr>
          <w:color w:val="000000" w:themeColor="text1"/>
        </w:rPr>
      </w:pPr>
      <w:r w:rsidRPr="003D201F">
        <w:rPr>
          <w:rFonts w:ascii="Times New Roman" w:eastAsia="Times New Roman" w:hAnsi="Times New Roman"/>
          <w:color w:val="000000" w:themeColor="text1"/>
          <w:sz w:val="24"/>
        </w:rPr>
        <w:t xml:space="preserve">-строительство спортивной базы хоккейного клуба «Ак Барс» ООО "СКП </w:t>
      </w:r>
      <w:r w:rsidR="00655046">
        <w:rPr>
          <w:rFonts w:ascii="Times New Roman" w:eastAsia="Times New Roman" w:hAnsi="Times New Roman"/>
          <w:color w:val="000000" w:themeColor="text1"/>
          <w:sz w:val="24"/>
        </w:rPr>
        <w:t>«</w:t>
      </w:r>
      <w:r w:rsidRPr="003D201F">
        <w:rPr>
          <w:rFonts w:ascii="Times New Roman" w:eastAsia="Times New Roman" w:hAnsi="Times New Roman"/>
          <w:color w:val="000000" w:themeColor="text1"/>
          <w:sz w:val="24"/>
        </w:rPr>
        <w:t>Татнефть-Ак Барс</w:t>
      </w:r>
      <w:r w:rsidR="00655046">
        <w:rPr>
          <w:rFonts w:ascii="Times New Roman" w:eastAsia="Times New Roman" w:hAnsi="Times New Roman"/>
          <w:color w:val="000000" w:themeColor="text1"/>
          <w:sz w:val="24"/>
        </w:rPr>
        <w:t>»</w:t>
      </w:r>
      <w:r w:rsidRPr="003D201F">
        <w:rPr>
          <w:rFonts w:ascii="Times New Roman" w:eastAsia="Times New Roman" w:hAnsi="Times New Roman"/>
          <w:color w:val="000000" w:themeColor="text1"/>
          <w:sz w:val="24"/>
        </w:rPr>
        <w:t>- 1200 млн. руб.</w:t>
      </w:r>
    </w:p>
    <w:p w:rsidR="000C50BE" w:rsidRPr="003D201F" w:rsidRDefault="003D201F">
      <w:pPr>
        <w:pBdr>
          <w:top w:val="none" w:sz="4" w:space="0" w:color="000000"/>
          <w:left w:val="none" w:sz="4" w:space="0" w:color="000000"/>
          <w:bottom w:val="none" w:sz="4" w:space="0" w:color="000000"/>
          <w:right w:val="none" w:sz="4" w:space="0" w:color="000000"/>
        </w:pBdr>
        <w:spacing w:after="0"/>
        <w:ind w:firstLine="787"/>
        <w:jc w:val="both"/>
        <w:rPr>
          <w:color w:val="000000" w:themeColor="text1"/>
        </w:rPr>
      </w:pPr>
      <w:r w:rsidRPr="003D201F">
        <w:rPr>
          <w:rFonts w:ascii="Times New Roman" w:eastAsia="Times New Roman" w:hAnsi="Times New Roman"/>
          <w:color w:val="000000" w:themeColor="text1"/>
          <w:sz w:val="24"/>
        </w:rPr>
        <w:t>- строительство и реконструкция объектов электроэнергетики филиала ПАО «Россети Сибирь» – 105,914 млн. руб. (темп роста объема инвестиций к 2020 г. составил 245,7 %);   </w:t>
      </w:r>
    </w:p>
    <w:p w:rsidR="000C50BE" w:rsidRPr="003D201F" w:rsidRDefault="003D201F">
      <w:pPr>
        <w:pBdr>
          <w:top w:val="none" w:sz="4" w:space="0" w:color="000000"/>
          <w:left w:val="none" w:sz="4" w:space="0" w:color="000000"/>
          <w:bottom w:val="none" w:sz="4" w:space="0" w:color="000000"/>
          <w:right w:val="none" w:sz="4" w:space="0" w:color="000000"/>
        </w:pBdr>
        <w:spacing w:after="0"/>
        <w:ind w:firstLine="787"/>
        <w:jc w:val="both"/>
        <w:rPr>
          <w:color w:val="000000" w:themeColor="text1"/>
        </w:rPr>
      </w:pPr>
      <w:r w:rsidRPr="003D201F">
        <w:rPr>
          <w:rFonts w:ascii="Times New Roman" w:eastAsia="Times New Roman" w:hAnsi="Times New Roman"/>
          <w:color w:val="000000" w:themeColor="text1"/>
          <w:sz w:val="24"/>
        </w:rPr>
        <w:t>- формирование рабочего, продуктивного, племенного стада; модернизация оборудования ООО «Алтайские луга» - 21,509 млн. руб. (темп роста объема инвестиций к 2020 г. составил 145,3 %);</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xml:space="preserve">- строительство сооружений и приобретение оборудования АО «Аэропорт «Горно-Алтайск» - 37,228 млн. руб. (темп роста объема инвестиций к 2020 г. составил 357,9 %); </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монтаж (пуско-наладочные работы) локатора г. Ухтюба (Организация Алтайский Центр ОВД филиала «Аэронавигация Западной Сибири» ФГУП «Госкорпорация по ОрВД») – 113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приобретение оборудования для обслуживания солнечной электростанции (ООО «Солнечная энергия плюс») – 5,0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xml:space="preserve">- открытие новых торговых объектов ООО «Пятерочка» – 22,0 млн. руб.  </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b/>
          <w:color w:val="000000"/>
          <w:sz w:val="24"/>
        </w:rPr>
        <w:t>На 01.01.2022 г. были реализованы следующие крупные инвестиционные проекты</w:t>
      </w:r>
      <w:r>
        <w:rPr>
          <w:rFonts w:ascii="Times New Roman" w:eastAsia="Times New Roman" w:hAnsi="Times New Roman"/>
          <w:b/>
          <w:i/>
          <w:color w:val="000000"/>
          <w:sz w:val="24"/>
        </w:rPr>
        <w:t xml:space="preserve">, </w:t>
      </w:r>
      <w:r>
        <w:rPr>
          <w:rFonts w:ascii="Times New Roman" w:eastAsia="Times New Roman" w:hAnsi="Times New Roman"/>
          <w:b/>
          <w:color w:val="000000"/>
          <w:sz w:val="24"/>
        </w:rPr>
        <w:t xml:space="preserve">финансируемые за счет </w:t>
      </w:r>
      <w:r>
        <w:rPr>
          <w:rFonts w:ascii="Times New Roman" w:eastAsia="Times New Roman" w:hAnsi="Times New Roman"/>
          <w:b/>
          <w:i/>
          <w:color w:val="000000"/>
          <w:sz w:val="24"/>
        </w:rPr>
        <w:t>бюджетных инвестиций</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автомобильной дороги «Урлу-Аспак-Каракол» км 0+000 – км 2+000 – 31,337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автомобильной дороги «Урлу-Аспак-Каракол» км 2+000 – км. 5+300 – 5,309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автомобильной дороги «Урлу-Аспак-Каракол» км 5+300 – км 15+600 – 243,396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газораспределительных сетей в с. Майма – 35,418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реконструкция системы водоснабжения с. Майма для подключения к Катунскому водозабору – 50,836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научно-исследовательские работы (АУ РА «Алтайский региональный институт экологии») – 50,0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детского сада на 125 мест по адресу: с. Майма, ул. Алтайская – 89,681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детского сада на 125 мест по адресу: с. Майма, ул. Молодежная – 34,410 млн. руб.</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b/>
          <w:color w:val="000000"/>
          <w:sz w:val="24"/>
        </w:rPr>
        <w:t xml:space="preserve">В 2022 г. за счет </w:t>
      </w:r>
      <w:r>
        <w:rPr>
          <w:rFonts w:ascii="Times New Roman" w:eastAsia="Times New Roman" w:hAnsi="Times New Roman"/>
          <w:b/>
          <w:i/>
          <w:color w:val="000000"/>
          <w:sz w:val="24"/>
        </w:rPr>
        <w:t>бюджетных средств</w:t>
      </w:r>
      <w:r>
        <w:rPr>
          <w:rFonts w:ascii="Times New Roman" w:eastAsia="Times New Roman" w:hAnsi="Times New Roman"/>
          <w:b/>
          <w:color w:val="000000"/>
          <w:sz w:val="24"/>
        </w:rPr>
        <w:t xml:space="preserve"> планируется: </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завершение работ по строительству 2 детских садов на 125 мест каждый: с. Майма, ул. Молодежная и с. Кызыл-Озек, ул. Ипподромная.</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приюта для животных на территории Майминского района;</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многоквартирного жилого дома для переселения из ветхого жилья (с. Майма, ул. Гидростроителей);</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водозабора для микрорайона в с. Кызыл-Озек;</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газораспределительных сетей;</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w:t>
      </w:r>
      <w:r>
        <w:rPr>
          <w:rFonts w:ascii="Times New Roman" w:eastAsia="Times New Roman" w:hAnsi="Times New Roman"/>
          <w:color w:val="000000"/>
          <w:sz w:val="24"/>
          <w:highlight w:val="white"/>
        </w:rPr>
        <w:t>троительство централизованных сетей водоснабжения, бани-санпропускника с прачечной, склада вооружения; капитальный ремонт объектов подведомственных учреждений; приобретение оборудования, производственного и хозяйственного инвентаря ОФСИН России по Республике Алтай.</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b/>
          <w:color w:val="000000"/>
          <w:sz w:val="24"/>
        </w:rPr>
        <w:t xml:space="preserve">За счет </w:t>
      </w:r>
      <w:r>
        <w:rPr>
          <w:rFonts w:ascii="Times New Roman" w:eastAsia="Times New Roman" w:hAnsi="Times New Roman"/>
          <w:b/>
          <w:i/>
          <w:color w:val="000000"/>
          <w:sz w:val="24"/>
        </w:rPr>
        <w:t xml:space="preserve">внебюджетных </w:t>
      </w:r>
      <w:r>
        <w:rPr>
          <w:rFonts w:ascii="Times New Roman" w:eastAsia="Times New Roman" w:hAnsi="Times New Roman"/>
          <w:b/>
          <w:color w:val="000000"/>
          <w:sz w:val="24"/>
        </w:rPr>
        <w:t>инвестиций планируется:</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xml:space="preserve">-  продолжение работа по проектированию и строительству крупного гостиничного комплекса и сопутствующей к нему </w:t>
      </w:r>
      <w:r>
        <w:rPr>
          <w:rFonts w:ascii="Times New Roman" w:eastAsia="Times New Roman" w:hAnsi="Times New Roman"/>
          <w:color w:val="000000"/>
          <w:sz w:val="24"/>
          <w:highlight w:val="white"/>
        </w:rPr>
        <w:t>рекреационной </w:t>
      </w:r>
      <w:r>
        <w:rPr>
          <w:rFonts w:ascii="Times New Roman" w:eastAsia="Times New Roman" w:hAnsi="Times New Roman"/>
          <w:color w:val="000000"/>
          <w:sz w:val="24"/>
        </w:rPr>
        <w:t>инфраструктуры ООО ВК «Манжерок»;</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и реконструкция аэровокзального комплекса АО «Аэропорт Горно-Алтайск»;</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Times New Roman" w:eastAsia="Times New Roman" w:hAnsi="Times New Roman"/>
          <w:color w:val="000000"/>
          <w:sz w:val="24"/>
        </w:rPr>
        <w:t>- строительство и реконструкция задний (сооружений); приобретение транспортных средств и оборудования ООО ТД «МЗЖБИ».</w:t>
      </w:r>
    </w:p>
    <w:p w:rsidR="000C50BE" w:rsidRDefault="003D201F">
      <w:pPr>
        <w:pBdr>
          <w:top w:val="none" w:sz="4" w:space="0" w:color="000000"/>
          <w:left w:val="none" w:sz="4" w:space="0" w:color="000000"/>
          <w:bottom w:val="none" w:sz="4" w:space="0" w:color="000000"/>
          <w:right w:val="none" w:sz="4" w:space="0" w:color="000000"/>
        </w:pBdr>
        <w:spacing w:after="0"/>
        <w:ind w:firstLine="787"/>
        <w:jc w:val="both"/>
      </w:pPr>
      <w:r>
        <w:rPr>
          <w:rFonts w:ascii="Segoe UI" w:eastAsia="Segoe UI" w:hAnsi="Segoe UI" w:cs="Segoe UI"/>
          <w:color w:val="000000"/>
          <w:sz w:val="28"/>
        </w:rPr>
        <w:t> </w:t>
      </w:r>
    </w:p>
    <w:p w:rsidR="000C50BE" w:rsidRDefault="003D201F">
      <w:pPr>
        <w:spacing w:after="0" w:line="240" w:lineRule="auto"/>
        <w:ind w:firstLine="709"/>
        <w:jc w:val="both"/>
      </w:pPr>
      <w:r>
        <w:rPr>
          <w:rFonts w:ascii="Times New Roman" w:hAnsi="Times New Roman"/>
          <w:b/>
          <w:bCs/>
          <w:sz w:val="24"/>
          <w:szCs w:val="24"/>
        </w:rPr>
        <w:t xml:space="preserve">Раздел </w:t>
      </w:r>
      <w:r>
        <w:rPr>
          <w:rFonts w:ascii="Times New Roman" w:hAnsi="Times New Roman"/>
          <w:b/>
          <w:bCs/>
          <w:sz w:val="24"/>
          <w:szCs w:val="24"/>
          <w:lang w:val="en-US"/>
        </w:rPr>
        <w:t>IV</w:t>
      </w:r>
      <w:r>
        <w:rPr>
          <w:rFonts w:ascii="Times New Roman" w:hAnsi="Times New Roman"/>
          <w:b/>
          <w:bCs/>
          <w:sz w:val="24"/>
          <w:szCs w:val="24"/>
        </w:rPr>
        <w:t>. Уровень и качество жизни</w:t>
      </w:r>
    </w:p>
    <w:p w:rsidR="000C50BE" w:rsidRDefault="000C50BE">
      <w:pPr>
        <w:spacing w:after="0" w:line="240" w:lineRule="auto"/>
        <w:ind w:firstLine="709"/>
        <w:jc w:val="both"/>
        <w:rPr>
          <w:rFonts w:ascii="Times New Roman" w:hAnsi="Times New Roman"/>
          <w:b/>
          <w:sz w:val="24"/>
          <w:szCs w:val="24"/>
        </w:rPr>
      </w:pPr>
    </w:p>
    <w:p w:rsidR="000C50BE" w:rsidRDefault="003D201F">
      <w:pPr>
        <w:spacing w:after="0" w:line="240" w:lineRule="auto"/>
        <w:ind w:firstLine="709"/>
        <w:jc w:val="both"/>
        <w:rPr>
          <w:rFonts w:ascii="Times New Roman" w:hAnsi="Times New Roman"/>
          <w:b/>
          <w:sz w:val="24"/>
          <w:szCs w:val="24"/>
        </w:rPr>
      </w:pPr>
      <w:r>
        <w:rPr>
          <w:rFonts w:ascii="Times New Roman" w:eastAsia="Times New Roman" w:hAnsi="Times New Roman"/>
          <w:b/>
          <w:sz w:val="24"/>
          <w:szCs w:val="24"/>
          <w:lang w:eastAsia="ru-RU"/>
        </w:rPr>
        <w:t>4.1.</w:t>
      </w:r>
      <w:r>
        <w:rPr>
          <w:rFonts w:ascii="Times New Roman" w:eastAsia="Times New Roman" w:hAnsi="Times New Roman"/>
          <w:sz w:val="24"/>
          <w:szCs w:val="24"/>
          <w:lang w:eastAsia="ru-RU"/>
        </w:rPr>
        <w:t xml:space="preserve"> </w:t>
      </w:r>
      <w:r>
        <w:rPr>
          <w:rFonts w:ascii="Times New Roman" w:hAnsi="Times New Roman"/>
          <w:b/>
          <w:sz w:val="24"/>
          <w:szCs w:val="24"/>
        </w:rPr>
        <w:t>Безработица и неформальная занятость</w:t>
      </w:r>
    </w:p>
    <w:p w:rsidR="000C50BE" w:rsidRDefault="003D201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Уровень регистрируемой безработицы по данным </w:t>
      </w:r>
      <w:r>
        <w:rPr>
          <w:rFonts w:ascii="Times New Roman" w:eastAsia="Times New Roman" w:hAnsi="Times New Roman"/>
          <w:sz w:val="24"/>
          <w:lang w:eastAsia="ru-RU"/>
        </w:rPr>
        <w:t>Филиала казенного учреждения Республики Алтай «Центр занятости населения по Республике Алтай» по Майминскому району</w:t>
      </w:r>
      <w:r>
        <w:rPr>
          <w:rFonts w:ascii="Times New Roman" w:eastAsia="Times New Roman" w:hAnsi="Times New Roman"/>
          <w:sz w:val="24"/>
          <w:szCs w:val="24"/>
          <w:lang w:eastAsia="ru-RU"/>
        </w:rPr>
        <w:t xml:space="preserve">, на 01.01.2022 г. уменьшился на 87,6 % и составил 1,09 % (на 01.01.2021 г. - 8,82 %). </w:t>
      </w:r>
    </w:p>
    <w:p w:rsidR="000C50BE" w:rsidRDefault="003D201F">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Снижение уровня безработицы обусловлено сокращением численности обратившихся в поисках трудоустройства граждан, а также изменением методики расчета показателя. </w:t>
      </w:r>
    </w:p>
    <w:p w:rsidR="000C50BE" w:rsidRDefault="003D201F">
      <w:pPr>
        <w:spacing w:after="0" w:line="240" w:lineRule="auto"/>
        <w:ind w:firstLine="709"/>
        <w:jc w:val="both"/>
      </w:pPr>
      <w:r>
        <w:rPr>
          <w:rFonts w:ascii="Times New Roman" w:eastAsia="Times New Roman" w:hAnsi="Times New Roman"/>
          <w:sz w:val="24"/>
          <w:szCs w:val="24"/>
          <w:lang w:eastAsia="ru-RU"/>
        </w:rPr>
        <w:t xml:space="preserve">В сравнении с плановым показателем на 01.01.2022 г. отклонение уровня регистрируемой безработицы составило (-) 3,41 процентных пункта. </w:t>
      </w:r>
    </w:p>
    <w:p w:rsidR="000C50BE" w:rsidRDefault="000C50BE">
      <w:pPr>
        <w:spacing w:after="0" w:line="240" w:lineRule="auto"/>
        <w:ind w:firstLine="709"/>
        <w:jc w:val="both"/>
      </w:pPr>
    </w:p>
    <w:p w:rsidR="000C50BE" w:rsidRDefault="003D201F">
      <w:pPr>
        <w:spacing w:after="0" w:line="240" w:lineRule="auto"/>
        <w:ind w:firstLine="709"/>
        <w:jc w:val="both"/>
        <w:rPr>
          <w:rFonts w:ascii="Times New Roman" w:hAnsi="Times New Roman"/>
          <w:b/>
          <w:sz w:val="24"/>
          <w:szCs w:val="24"/>
        </w:rPr>
      </w:pPr>
      <w:r>
        <w:rPr>
          <w:rFonts w:ascii="Times New Roman" w:hAnsi="Times New Roman"/>
          <w:b/>
          <w:sz w:val="24"/>
          <w:szCs w:val="24"/>
        </w:rPr>
        <w:t>4.2. Жилищное строительство</w:t>
      </w:r>
    </w:p>
    <w:p w:rsidR="000C50BE" w:rsidRDefault="003D201F">
      <w:pPr>
        <w:widowControl w:val="0"/>
        <w:spacing w:after="0" w:line="240" w:lineRule="auto"/>
        <w:ind w:firstLine="709"/>
        <w:jc w:val="both"/>
        <w:rPr>
          <w:rFonts w:ascii="Times New Roman" w:eastAsia="Times New Roman" w:hAnsi="Times New Roman"/>
          <w:color w:val="000000"/>
          <w:sz w:val="24"/>
        </w:rPr>
      </w:pPr>
      <w:r>
        <w:rPr>
          <w:rFonts w:ascii="Times New Roman" w:hAnsi="Times New Roman"/>
          <w:sz w:val="24"/>
          <w:szCs w:val="24"/>
        </w:rPr>
        <w:t xml:space="preserve">На 01.01.2022 г. введено общей площади жилых помещений 44344 кв. м (463 здания), в том числе индивидуальное жилищное строительство 44344 кв. м (363 здания). </w:t>
      </w:r>
      <w:r>
        <w:rPr>
          <w:rFonts w:ascii="Times New Roman" w:eastAsia="Times New Roman" w:hAnsi="Times New Roman"/>
          <w:color w:val="000000"/>
          <w:sz w:val="24"/>
        </w:rPr>
        <w:t xml:space="preserve">Юридическими лицами в 2021 г. строительство жилых домов не осуществлялось. </w:t>
      </w:r>
    </w:p>
    <w:p w:rsidR="000C50BE" w:rsidRDefault="003D201F">
      <w:pPr>
        <w:widowControl w:val="0"/>
        <w:spacing w:after="0" w:line="240" w:lineRule="auto"/>
        <w:ind w:firstLine="709"/>
        <w:jc w:val="both"/>
        <w:rPr>
          <w:rFonts w:ascii="Times New Roman" w:hAnsi="Times New Roman"/>
          <w:color w:val="000000"/>
          <w:sz w:val="24"/>
          <w:szCs w:val="24"/>
          <w:highlight w:val="white"/>
        </w:rPr>
      </w:pPr>
      <w:r>
        <w:rPr>
          <w:rFonts w:ascii="Times New Roman" w:hAnsi="Times New Roman"/>
          <w:color w:val="000000" w:themeColor="text1"/>
          <w:sz w:val="24"/>
          <w:szCs w:val="24"/>
          <w:highlight w:val="white"/>
        </w:rPr>
        <w:t xml:space="preserve">Плановый показатель ввода жилья по МО «Майминский район» на 2021 г. составляет 22400 кв. м, таким образом, процент выполнения плана, утвержденного Министерством регионального развития РА на 2021 год, составляет 198,0 %. </w:t>
      </w:r>
    </w:p>
    <w:p w:rsidR="000C50BE" w:rsidRDefault="003D201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сравнении с аналогичным периодом прошлого года наблюдается рост</w:t>
      </w:r>
      <w:r>
        <w:rPr>
          <w:rFonts w:ascii="Times New Roman" w:hAnsi="Times New Roman"/>
          <w:sz w:val="24"/>
        </w:rPr>
        <w:t xml:space="preserve"> объема ввода жилых помещений, в т.ч.:</w:t>
      </w:r>
    </w:p>
    <w:tbl>
      <w:tblPr>
        <w:tblW w:w="9353" w:type="dxa"/>
        <w:tblInd w:w="-118" w:type="dxa"/>
        <w:tblLayout w:type="fixed"/>
        <w:tblLook w:val="04A0" w:firstRow="1" w:lastRow="0" w:firstColumn="1" w:lastColumn="0" w:noHBand="0" w:noVBand="1"/>
      </w:tblPr>
      <w:tblGrid>
        <w:gridCol w:w="2376"/>
        <w:gridCol w:w="1985"/>
        <w:gridCol w:w="1984"/>
        <w:gridCol w:w="1568"/>
        <w:gridCol w:w="1440"/>
      </w:tblGrid>
      <w:tr w:rsidR="000C50BE">
        <w:trPr>
          <w:trHeight w:val="641"/>
        </w:trPr>
        <w:tc>
          <w:tcPr>
            <w:tcW w:w="2376"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both"/>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0C50BE" w:rsidRDefault="003D201F">
            <w:pPr>
              <w:widowControl w:val="0"/>
              <w:spacing w:after="0" w:line="240" w:lineRule="auto"/>
            </w:pPr>
            <w:r>
              <w:rPr>
                <w:rFonts w:ascii="Times New Roman" w:hAnsi="Times New Roman"/>
                <w:sz w:val="24"/>
                <w:szCs w:val="24"/>
              </w:rPr>
              <w:t>на 01.01.2021 г.</w:t>
            </w:r>
          </w:p>
        </w:tc>
        <w:tc>
          <w:tcPr>
            <w:tcW w:w="1984" w:type="dxa"/>
            <w:tcBorders>
              <w:top w:val="single" w:sz="4" w:space="0" w:color="000000"/>
              <w:left w:val="single" w:sz="4" w:space="0" w:color="000000"/>
              <w:bottom w:val="single" w:sz="4" w:space="0" w:color="000000"/>
              <w:right w:val="single" w:sz="4" w:space="0" w:color="000000"/>
            </w:tcBorders>
          </w:tcPr>
          <w:p w:rsidR="000C50BE" w:rsidRDefault="003D201F">
            <w:pPr>
              <w:widowControl w:val="0"/>
              <w:spacing w:after="0" w:line="240" w:lineRule="auto"/>
            </w:pPr>
            <w:r>
              <w:rPr>
                <w:rFonts w:ascii="Times New Roman" w:hAnsi="Times New Roman"/>
                <w:sz w:val="24"/>
                <w:szCs w:val="24"/>
              </w:rPr>
              <w:t>на 01.01.2022 г.</w:t>
            </w:r>
          </w:p>
        </w:tc>
        <w:tc>
          <w:tcPr>
            <w:tcW w:w="1568" w:type="dxa"/>
            <w:tcBorders>
              <w:top w:val="single" w:sz="4" w:space="0" w:color="000000"/>
              <w:left w:val="single" w:sz="4" w:space="0" w:color="000000"/>
              <w:bottom w:val="single" w:sz="4" w:space="0" w:color="000000"/>
              <w:right w:val="single" w:sz="4" w:space="0" w:color="000000"/>
            </w:tcBorders>
          </w:tcPr>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Отклонение, кв. м / ед.</w:t>
            </w:r>
          </w:p>
        </w:tc>
        <w:tc>
          <w:tcPr>
            <w:tcW w:w="1440" w:type="dxa"/>
            <w:tcBorders>
              <w:top w:val="single" w:sz="4" w:space="0" w:color="000000"/>
              <w:left w:val="single" w:sz="4" w:space="0" w:color="000000"/>
              <w:bottom w:val="single" w:sz="4" w:space="0" w:color="000000"/>
              <w:right w:val="single" w:sz="4" w:space="0" w:color="000000"/>
            </w:tcBorders>
          </w:tcPr>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Темп роста, %</w:t>
            </w:r>
          </w:p>
        </w:tc>
      </w:tr>
      <w:tr w:rsidR="000C50BE">
        <w:tc>
          <w:tcPr>
            <w:tcW w:w="2376" w:type="dxa"/>
            <w:tcBorders>
              <w:top w:val="single" w:sz="4" w:space="0" w:color="000000"/>
              <w:left w:val="single" w:sz="4" w:space="0" w:color="000000"/>
              <w:bottom w:val="single" w:sz="4" w:space="0" w:color="000000"/>
              <w:right w:val="single" w:sz="4" w:space="0" w:color="000000"/>
            </w:tcBorders>
          </w:tcPr>
          <w:p w:rsidR="000C50BE" w:rsidRDefault="003D201F">
            <w:pPr>
              <w:widowControl w:val="0"/>
              <w:spacing w:after="0" w:line="240" w:lineRule="auto"/>
              <w:jc w:val="both"/>
              <w:rPr>
                <w:rFonts w:ascii="Times New Roman" w:hAnsi="Times New Roman"/>
                <w:sz w:val="24"/>
                <w:szCs w:val="24"/>
              </w:rPr>
            </w:pPr>
            <w:r>
              <w:rPr>
                <w:rFonts w:ascii="Times New Roman" w:hAnsi="Times New Roman"/>
                <w:sz w:val="24"/>
                <w:szCs w:val="24"/>
              </w:rPr>
              <w:t>Введено всего:</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кв. м</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зданий</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квартир</w:t>
            </w:r>
          </w:p>
        </w:tc>
        <w:tc>
          <w:tcPr>
            <w:tcW w:w="1985" w:type="dxa"/>
            <w:tcBorders>
              <w:top w:val="single" w:sz="4" w:space="0" w:color="000000"/>
              <w:left w:val="single" w:sz="4" w:space="0" w:color="000000"/>
              <w:bottom w:val="single" w:sz="4" w:space="0" w:color="000000"/>
              <w:right w:val="single" w:sz="4" w:space="0" w:color="000000"/>
            </w:tcBorders>
          </w:tcPr>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 </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14146</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127</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149</w:t>
            </w:r>
          </w:p>
        </w:tc>
        <w:tc>
          <w:tcPr>
            <w:tcW w:w="1984"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44344</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463</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463</w:t>
            </w:r>
          </w:p>
        </w:tc>
        <w:tc>
          <w:tcPr>
            <w:tcW w:w="1568"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30198</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336</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314</w:t>
            </w:r>
          </w:p>
        </w:tc>
        <w:tc>
          <w:tcPr>
            <w:tcW w:w="1440"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313,5</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364,6</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310,7</w:t>
            </w:r>
          </w:p>
        </w:tc>
      </w:tr>
      <w:tr w:rsidR="000C50BE">
        <w:tc>
          <w:tcPr>
            <w:tcW w:w="2376" w:type="dxa"/>
            <w:tcBorders>
              <w:top w:val="single" w:sz="4" w:space="0" w:color="000000"/>
              <w:left w:val="single" w:sz="4" w:space="0" w:color="000000"/>
              <w:bottom w:val="single" w:sz="4" w:space="0" w:color="000000"/>
              <w:right w:val="single" w:sz="4" w:space="0" w:color="000000"/>
            </w:tcBorders>
          </w:tcPr>
          <w:p w:rsidR="000C50BE" w:rsidRDefault="003D201F">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в т.ч. </w:t>
            </w:r>
          </w:p>
          <w:p w:rsidR="000C50BE" w:rsidRDefault="003D201F">
            <w:pPr>
              <w:widowControl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  ИЖС</w:t>
            </w:r>
            <w:r>
              <w:rPr>
                <w:rFonts w:ascii="Times New Roman" w:hAnsi="Times New Roman"/>
                <w:sz w:val="24"/>
                <w:szCs w:val="24"/>
              </w:rPr>
              <w:t>:</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кв. м</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зданий</w:t>
            </w:r>
          </w:p>
        </w:tc>
        <w:tc>
          <w:tcPr>
            <w:tcW w:w="1985" w:type="dxa"/>
            <w:tcBorders>
              <w:top w:val="single" w:sz="4" w:space="0" w:color="000000"/>
              <w:left w:val="single" w:sz="4" w:space="0" w:color="000000"/>
              <w:bottom w:val="single" w:sz="4" w:space="0" w:color="000000"/>
              <w:right w:val="single" w:sz="4" w:space="0" w:color="000000"/>
            </w:tcBorders>
          </w:tcPr>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 </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 </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13173</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125</w:t>
            </w:r>
          </w:p>
        </w:tc>
        <w:tc>
          <w:tcPr>
            <w:tcW w:w="1984"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44344</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463</w:t>
            </w:r>
          </w:p>
        </w:tc>
        <w:tc>
          <w:tcPr>
            <w:tcW w:w="1568"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31171</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338</w:t>
            </w:r>
          </w:p>
        </w:tc>
        <w:tc>
          <w:tcPr>
            <w:tcW w:w="1440"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336,6</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370,4</w:t>
            </w:r>
          </w:p>
        </w:tc>
      </w:tr>
      <w:tr w:rsidR="000C50BE">
        <w:tc>
          <w:tcPr>
            <w:tcW w:w="2376" w:type="dxa"/>
            <w:tcBorders>
              <w:top w:val="single" w:sz="4" w:space="0" w:color="000000"/>
              <w:left w:val="single" w:sz="4" w:space="0" w:color="000000"/>
              <w:bottom w:val="single" w:sz="4" w:space="0" w:color="000000"/>
              <w:right w:val="single" w:sz="4" w:space="0" w:color="000000"/>
            </w:tcBorders>
          </w:tcPr>
          <w:p w:rsidR="000C50BE" w:rsidRDefault="003D201F">
            <w:pPr>
              <w:widowControl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введено</w:t>
            </w:r>
          </w:p>
          <w:p w:rsidR="000C50BE" w:rsidRDefault="003D201F">
            <w:pPr>
              <w:widowControl w:val="0"/>
              <w:spacing w:after="0" w:line="240" w:lineRule="auto"/>
              <w:jc w:val="both"/>
              <w:rPr>
                <w:rFonts w:ascii="Times New Roman" w:hAnsi="Times New Roman"/>
                <w:sz w:val="24"/>
                <w:szCs w:val="24"/>
              </w:rPr>
            </w:pPr>
            <w:r>
              <w:rPr>
                <w:rFonts w:ascii="Times New Roman" w:hAnsi="Times New Roman"/>
                <w:sz w:val="24"/>
                <w:szCs w:val="24"/>
              </w:rPr>
              <w:t xml:space="preserve"> юр. лицами:</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кв. м</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зданий</w:t>
            </w:r>
          </w:p>
          <w:p w:rsidR="000C50BE" w:rsidRDefault="003D201F">
            <w:pPr>
              <w:widowControl w:val="0"/>
              <w:spacing w:after="0" w:line="240" w:lineRule="auto"/>
              <w:jc w:val="right"/>
              <w:rPr>
                <w:rFonts w:ascii="Times New Roman" w:hAnsi="Times New Roman"/>
                <w:sz w:val="24"/>
                <w:szCs w:val="24"/>
              </w:rPr>
            </w:pPr>
            <w:r>
              <w:rPr>
                <w:rFonts w:ascii="Times New Roman" w:hAnsi="Times New Roman"/>
                <w:sz w:val="24"/>
                <w:szCs w:val="24"/>
              </w:rPr>
              <w:t>квартир</w:t>
            </w:r>
          </w:p>
        </w:tc>
        <w:tc>
          <w:tcPr>
            <w:tcW w:w="1985" w:type="dxa"/>
            <w:tcBorders>
              <w:top w:val="single" w:sz="4" w:space="0" w:color="000000"/>
              <w:left w:val="single" w:sz="4" w:space="0" w:color="000000"/>
              <w:bottom w:val="single" w:sz="4" w:space="0" w:color="000000"/>
              <w:right w:val="single" w:sz="4" w:space="0" w:color="000000"/>
            </w:tcBorders>
          </w:tcPr>
          <w:p w:rsidR="000C50BE" w:rsidRDefault="000C50BE">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p>
          <w:p w:rsidR="000C50BE" w:rsidRDefault="000C50BE">
            <w:pPr>
              <w:widowControl w:val="0"/>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940</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1</w:t>
            </w:r>
          </w:p>
          <w:p w:rsidR="000C50BE" w:rsidRDefault="003D201F">
            <w:pPr>
              <w:widowControl w:val="0"/>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Pr>
                <w:rFonts w:ascii="Times New Roman" w:hAnsi="Times New Roman"/>
                <w:sz w:val="24"/>
              </w:rPr>
              <w:t>23</w:t>
            </w:r>
          </w:p>
        </w:tc>
        <w:tc>
          <w:tcPr>
            <w:tcW w:w="1984"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0</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0</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0</w:t>
            </w:r>
          </w:p>
        </w:tc>
        <w:tc>
          <w:tcPr>
            <w:tcW w:w="1568"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-940</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-1</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-23</w:t>
            </w:r>
          </w:p>
        </w:tc>
        <w:tc>
          <w:tcPr>
            <w:tcW w:w="1440" w:type="dxa"/>
            <w:tcBorders>
              <w:top w:val="single" w:sz="4" w:space="0" w:color="000000"/>
              <w:left w:val="single" w:sz="4" w:space="0" w:color="000000"/>
              <w:bottom w:val="single" w:sz="4" w:space="0" w:color="000000"/>
              <w:right w:val="single" w:sz="4" w:space="0" w:color="000000"/>
            </w:tcBorders>
          </w:tcPr>
          <w:p w:rsidR="000C50BE" w:rsidRDefault="000C50BE">
            <w:pPr>
              <w:widowControl w:val="0"/>
              <w:spacing w:after="0" w:line="240" w:lineRule="auto"/>
              <w:jc w:val="center"/>
              <w:rPr>
                <w:rFonts w:ascii="Times New Roman" w:hAnsi="Times New Roman"/>
                <w:sz w:val="24"/>
                <w:szCs w:val="24"/>
              </w:rPr>
            </w:pPr>
          </w:p>
          <w:p w:rsidR="000C50BE" w:rsidRDefault="000C50BE">
            <w:pPr>
              <w:widowControl w:val="0"/>
              <w:spacing w:after="0" w:line="240" w:lineRule="auto"/>
              <w:jc w:val="center"/>
              <w:rPr>
                <w:rFonts w:ascii="Times New Roman" w:hAnsi="Times New Roman"/>
                <w:sz w:val="24"/>
                <w:szCs w:val="24"/>
              </w:rPr>
            </w:pP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х</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х</w:t>
            </w:r>
          </w:p>
          <w:p w:rsidR="000C50BE" w:rsidRDefault="003D201F">
            <w:pPr>
              <w:widowControl w:val="0"/>
              <w:spacing w:after="0" w:line="240" w:lineRule="auto"/>
              <w:jc w:val="center"/>
              <w:rPr>
                <w:rFonts w:ascii="Times New Roman" w:hAnsi="Times New Roman"/>
                <w:sz w:val="24"/>
                <w:szCs w:val="24"/>
              </w:rPr>
            </w:pPr>
            <w:r>
              <w:rPr>
                <w:rFonts w:ascii="Times New Roman" w:hAnsi="Times New Roman"/>
                <w:sz w:val="24"/>
                <w:szCs w:val="24"/>
              </w:rPr>
              <w:t>х</w:t>
            </w:r>
          </w:p>
        </w:tc>
      </w:tr>
    </w:tbl>
    <w:p w:rsidR="000C50BE" w:rsidRDefault="000C50BE">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pP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line="253" w:lineRule="atLeast"/>
        <w:ind w:firstLine="709"/>
        <w:jc w:val="both"/>
        <w:rPr>
          <w:rFonts w:ascii="Times New Roman" w:eastAsia="Times New Roman" w:hAnsi="Times New Roman"/>
          <w:color w:val="000000"/>
          <w:sz w:val="24"/>
        </w:rPr>
      </w:pPr>
      <w:r>
        <w:rPr>
          <w:rFonts w:ascii="Times New Roman" w:eastAsia="Times New Roman" w:hAnsi="Times New Roman"/>
          <w:color w:val="000000"/>
          <w:sz w:val="24"/>
        </w:rPr>
        <w:t xml:space="preserve">На 01.01.2022 г. сноса жилых домов по причине аварийности не было. </w:t>
      </w:r>
    </w:p>
    <w:p w:rsidR="000C50BE" w:rsidRDefault="003D201F">
      <w:pPr>
        <w:spacing w:after="0" w:line="240" w:lineRule="auto"/>
        <w:ind w:firstLine="709"/>
        <w:jc w:val="both"/>
        <w:rPr>
          <w:rFonts w:ascii="Times New Roman" w:hAnsi="Times New Roman"/>
          <w:sz w:val="24"/>
          <w:szCs w:val="24"/>
        </w:rPr>
      </w:pPr>
      <w:r>
        <w:rPr>
          <w:rFonts w:ascii="Times New Roman" w:hAnsi="Times New Roman"/>
          <w:sz w:val="24"/>
          <w:szCs w:val="24"/>
        </w:rPr>
        <w:t xml:space="preserve">Жилой фонд муниципального образования на отчетный период представлен </w:t>
      </w:r>
      <w:r>
        <w:rPr>
          <w:rFonts w:ascii="Times New Roman" w:hAnsi="Times New Roman"/>
          <w:iCs/>
          <w:sz w:val="24"/>
          <w:szCs w:val="24"/>
          <w:shd w:val="clear" w:color="auto" w:fill="FFFFFF"/>
          <w:lang w:eastAsia="ru-RU" w:bidi="ru-RU"/>
        </w:rPr>
        <w:t xml:space="preserve">10398 </w:t>
      </w:r>
      <w:r>
        <w:rPr>
          <w:rFonts w:ascii="Times New Roman" w:hAnsi="Times New Roman"/>
          <w:sz w:val="24"/>
          <w:szCs w:val="24"/>
        </w:rPr>
        <w:t xml:space="preserve"> домами общей площадью 795,26 кв. м, из них:  6619  индивидуальных дома общей площадью 432,34 кв. м, многоквартирные дома - 119 ед. с общей площадь 153,18 кв. м,  дома блокированной застройки - 3660 ед. с общей площадь 205,07 кв. м.</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На территории Майминского района есть возможность выделения 3077 земельных участков для жилищного строительства, общей площадью 898,8 га, что позволит увеличить объем вводимого жилья. Основной проблемой стимулирования жилищного строительства в указанных микрорайонах является строительство инженерной инфраструктуры. Расчетные затраты на устройство инфраструктуры для указанных земельных участков составляют 7,3 млрд руб. (строительство дорожной сети, сетей водоснабжения, электроснабжения и газоснабжения). Финансирование проведения инженерной инфраструктуры позволит скорейшему устройству инфраструктуры и тем самым стимулирует население на строительство жилищного фонда.</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На сегодняшний день является проблемой для строительства и введения в эксплуатацию уже построенных домов включение большей части Майминского района в зону затопления, подтопления. В 2021 г. в связи с попаданием земельных участков в зону затопления, подтопления, было отказано 13 заявителям о намерении строительства (общая площадь 1991,1 кв. м). В связи с введением с 19.12.2020 г. процедуры упрощенной регистрации прав на недвижимое имущество, отделом архитектуры и градостроительства были проинформированы заявители о возможности регистрации без разрешительной документации, это позволило гражданам поставить на кадастровый учет в 2021 г. 463 жилых дома общей площадью 44344 кв. м.</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Для исключения территории из зоны затопления, подтопления требуется строительство инженерного сооружения – дамбы, проектная документация разработана, требуется финансирование на проведение данных работ, что также позволит увеличить объем жилищного строительства.</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В целях достижения планового показателя на 2021-2023 гг, установленного соглашением о реализации регионального проекта «Жилье (Республика Алтай)» (2021 г. -22400 кв. м, 2022 г.-21900 кв. м, 2023 г.-47722 кв. м), Администрацией муниципального образования «Майминский район» ведется работа по формированию и выделению земельных участков застройщикам под строительство МКД: 5 строительных площадок, общая площадь земельных участков 644,9 га, 44 МКД, 4305 квартир, общая площадь жилых помещений 193725 кв. м.</w:t>
      </w:r>
    </w:p>
    <w:p w:rsidR="000C50BE" w:rsidRDefault="000C50BE">
      <w:pPr>
        <w:widowControl w:val="0"/>
        <w:spacing w:after="0" w:line="240" w:lineRule="auto"/>
        <w:ind w:firstLine="709"/>
        <w:jc w:val="both"/>
      </w:pPr>
    </w:p>
    <w:p w:rsidR="000C50BE" w:rsidRDefault="003D201F">
      <w:pPr>
        <w:spacing w:after="0" w:line="240" w:lineRule="auto"/>
        <w:ind w:firstLine="709"/>
        <w:jc w:val="both"/>
        <w:rPr>
          <w:rFonts w:ascii="Times New Roman" w:hAnsi="Times New Roman"/>
          <w:b/>
          <w:bCs/>
          <w:spacing w:val="2"/>
          <w:sz w:val="24"/>
          <w:szCs w:val="24"/>
        </w:rPr>
      </w:pPr>
      <w:r>
        <w:rPr>
          <w:rFonts w:ascii="Times New Roman" w:hAnsi="Times New Roman"/>
          <w:b/>
          <w:bCs/>
          <w:spacing w:val="2"/>
          <w:sz w:val="24"/>
          <w:szCs w:val="24"/>
        </w:rPr>
        <w:t>4.3. Демографические показатели</w:t>
      </w:r>
    </w:p>
    <w:p w:rsidR="000C50BE" w:rsidRDefault="003D201F">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Показатель естественного прироста в расчете на 1000 населения на 01.01.2022 г. составил -3,5 чел., что </w:t>
      </w:r>
      <w:r>
        <w:rPr>
          <w:rFonts w:ascii="Times New Roman" w:hAnsi="Times New Roman"/>
          <w:i/>
          <w:sz w:val="24"/>
          <w:szCs w:val="24"/>
        </w:rPr>
        <w:t>ниже</w:t>
      </w:r>
      <w:r>
        <w:rPr>
          <w:rFonts w:ascii="Times New Roman" w:hAnsi="Times New Roman"/>
          <w:sz w:val="24"/>
          <w:szCs w:val="24"/>
        </w:rPr>
        <w:t xml:space="preserve"> уровня на 01.01.2021 г. на 108,33%. </w:t>
      </w:r>
      <w:r>
        <w:rPr>
          <w:rFonts w:ascii="Times New Roman" w:hAnsi="Times New Roman"/>
          <w:i/>
          <w:sz w:val="24"/>
          <w:szCs w:val="24"/>
        </w:rPr>
        <w:t>Снижение</w:t>
      </w:r>
      <w:r>
        <w:rPr>
          <w:rFonts w:ascii="Times New Roman" w:hAnsi="Times New Roman"/>
          <w:sz w:val="24"/>
          <w:szCs w:val="24"/>
        </w:rPr>
        <w:t xml:space="preserve"> показателя естественного прироста </w:t>
      </w:r>
      <w:r>
        <w:rPr>
          <w:rFonts w:ascii="Times New Roman" w:hAnsi="Times New Roman"/>
          <w:i/>
          <w:sz w:val="24"/>
          <w:szCs w:val="24"/>
        </w:rPr>
        <w:t>сформировалось</w:t>
      </w:r>
      <w:r>
        <w:rPr>
          <w:rFonts w:ascii="Times New Roman" w:hAnsi="Times New Roman"/>
          <w:sz w:val="24"/>
          <w:szCs w:val="24"/>
        </w:rPr>
        <w:t xml:space="preserve"> за счет существенного подъема заболеваемости новой коронавирусной инфекцией и увеличением смертности.</w:t>
      </w:r>
    </w:p>
    <w:p w:rsidR="000C50BE" w:rsidRDefault="003D201F">
      <w:pPr>
        <w:spacing w:after="0" w:line="240" w:lineRule="auto"/>
        <w:ind w:firstLine="709"/>
        <w:jc w:val="both"/>
        <w:rPr>
          <w:rFonts w:ascii="Times New Roman" w:hAnsi="Times New Roman"/>
          <w:bCs/>
          <w:spacing w:val="2"/>
          <w:sz w:val="24"/>
          <w:szCs w:val="24"/>
        </w:rPr>
      </w:pPr>
      <w:r>
        <w:rPr>
          <w:rFonts w:ascii="Times New Roman" w:hAnsi="Times New Roman"/>
          <w:bCs/>
          <w:spacing w:val="2"/>
          <w:sz w:val="24"/>
          <w:szCs w:val="24"/>
        </w:rPr>
        <w:t xml:space="preserve">На 01.01.2022 г. оценка численности постоянного населения в МО «Майминский район» составила 34647 чел., что на 65 чел. или на 100,19 % </w:t>
      </w:r>
      <w:r>
        <w:rPr>
          <w:rFonts w:ascii="Times New Roman" w:hAnsi="Times New Roman"/>
          <w:bCs/>
          <w:i/>
          <w:spacing w:val="2"/>
          <w:sz w:val="24"/>
          <w:szCs w:val="24"/>
        </w:rPr>
        <w:t>больше,</w:t>
      </w:r>
      <w:r>
        <w:rPr>
          <w:rFonts w:ascii="Times New Roman" w:hAnsi="Times New Roman"/>
          <w:bCs/>
          <w:spacing w:val="2"/>
          <w:sz w:val="24"/>
          <w:szCs w:val="24"/>
        </w:rPr>
        <w:t xml:space="preserve"> чем на 01.01.2021 г.</w:t>
      </w:r>
    </w:p>
    <w:p w:rsidR="000C50BE" w:rsidRDefault="000C50BE">
      <w:pPr>
        <w:spacing w:after="0" w:line="240" w:lineRule="auto"/>
        <w:ind w:firstLine="709"/>
        <w:jc w:val="both"/>
        <w:rPr>
          <w:rFonts w:ascii="Times New Roman" w:hAnsi="Times New Roman"/>
          <w:bCs/>
          <w:spacing w:val="2"/>
          <w:sz w:val="24"/>
          <w:szCs w:val="24"/>
        </w:rPr>
      </w:pPr>
    </w:p>
    <w:tbl>
      <w:tblPr>
        <w:tblW w:w="9262" w:type="dxa"/>
        <w:tblInd w:w="-5" w:type="dxa"/>
        <w:tblLayout w:type="fixed"/>
        <w:tblLook w:val="04A0" w:firstRow="1" w:lastRow="0" w:firstColumn="1" w:lastColumn="0" w:noHBand="0" w:noVBand="1"/>
      </w:tblPr>
      <w:tblGrid>
        <w:gridCol w:w="3616"/>
        <w:gridCol w:w="929"/>
        <w:gridCol w:w="1765"/>
        <w:gridCol w:w="1701"/>
        <w:gridCol w:w="1251"/>
      </w:tblGrid>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Показатели</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Ед. изм.</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 xml:space="preserve">на </w:t>
            </w:r>
          </w:p>
          <w:p w:rsidR="000C50BE" w:rsidRDefault="003D201F">
            <w:pPr>
              <w:spacing w:after="0" w:line="240" w:lineRule="auto"/>
              <w:jc w:val="center"/>
            </w:pPr>
            <w:r>
              <w:rPr>
                <w:rFonts w:ascii="Times New Roman" w:hAnsi="Times New Roman"/>
                <w:sz w:val="24"/>
                <w:szCs w:val="24"/>
              </w:rPr>
              <w:t>01.01.2021 г.</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 xml:space="preserve">на </w:t>
            </w:r>
          </w:p>
          <w:p w:rsidR="000C50BE" w:rsidRDefault="003D201F">
            <w:pPr>
              <w:spacing w:after="0" w:line="240" w:lineRule="auto"/>
              <w:jc w:val="center"/>
            </w:pPr>
            <w:r>
              <w:rPr>
                <w:rFonts w:ascii="Times New Roman" w:hAnsi="Times New Roman"/>
                <w:sz w:val="24"/>
                <w:szCs w:val="24"/>
              </w:rPr>
              <w:t>01.01.2022 г.</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Темп роста, %</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 xml:space="preserve">Численность постоянного населения </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34582</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34647</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100,19</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Родившиеся</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373</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356</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95,44</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Умершие</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341</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476</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139,59</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pPr>
            <w:r>
              <w:rPr>
                <w:rFonts w:ascii="Times New Roman" w:eastAsia="Times New Roman" w:hAnsi="Times New Roman"/>
                <w:sz w:val="24"/>
                <w:szCs w:val="24"/>
              </w:rPr>
              <w:t xml:space="preserve">   </w:t>
            </w:r>
            <w:r>
              <w:rPr>
                <w:rFonts w:ascii="Times New Roman" w:hAnsi="Times New Roman"/>
                <w:sz w:val="24"/>
                <w:szCs w:val="24"/>
              </w:rPr>
              <w:t>в т.ч. смертность населения от внешних причин</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33</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48</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145,5</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Естественный прирост населения (на 1000 чел. населения)</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0,9</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-3,5</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-388,9</w:t>
            </w:r>
          </w:p>
        </w:tc>
      </w:tr>
      <w:tr w:rsidR="000C50BE">
        <w:trPr>
          <w:trHeight w:val="333"/>
        </w:trPr>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Прибыло</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1597</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1815</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113,65</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Выбыло</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1617</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1631</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100,87</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Миграционный прирост/убыль</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-20</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184</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w:t>
            </w:r>
          </w:p>
        </w:tc>
      </w:tr>
      <w:tr w:rsidR="000C50BE">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Число браков</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ед.</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177</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207</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116,95</w:t>
            </w:r>
          </w:p>
        </w:tc>
      </w:tr>
      <w:tr w:rsidR="000C50BE">
        <w:trPr>
          <w:trHeight w:val="70"/>
        </w:trPr>
        <w:tc>
          <w:tcPr>
            <w:tcW w:w="3616" w:type="dxa"/>
            <w:tcBorders>
              <w:top w:val="single" w:sz="4" w:space="0" w:color="000000"/>
              <w:left w:val="single" w:sz="4" w:space="0" w:color="000000"/>
              <w:bottom w:val="single" w:sz="4" w:space="0" w:color="000000"/>
            </w:tcBorders>
          </w:tcPr>
          <w:p w:rsidR="000C50BE" w:rsidRDefault="003D201F">
            <w:pPr>
              <w:spacing w:after="0" w:line="240" w:lineRule="auto"/>
              <w:rPr>
                <w:rFonts w:ascii="Times New Roman" w:hAnsi="Times New Roman"/>
                <w:sz w:val="24"/>
                <w:szCs w:val="24"/>
              </w:rPr>
            </w:pPr>
            <w:r>
              <w:rPr>
                <w:rFonts w:ascii="Times New Roman" w:hAnsi="Times New Roman"/>
                <w:sz w:val="24"/>
                <w:szCs w:val="24"/>
              </w:rPr>
              <w:t>Число разводов</w:t>
            </w:r>
          </w:p>
        </w:tc>
        <w:tc>
          <w:tcPr>
            <w:tcW w:w="929"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ед.</w:t>
            </w:r>
          </w:p>
        </w:tc>
        <w:tc>
          <w:tcPr>
            <w:tcW w:w="1765"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166</w:t>
            </w:r>
          </w:p>
        </w:tc>
        <w:tc>
          <w:tcPr>
            <w:tcW w:w="1701" w:type="dxa"/>
            <w:tcBorders>
              <w:top w:val="single" w:sz="4" w:space="0" w:color="000000"/>
              <w:left w:val="single" w:sz="4" w:space="0" w:color="000000"/>
              <w:bottom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174</w:t>
            </w:r>
          </w:p>
        </w:tc>
        <w:tc>
          <w:tcPr>
            <w:tcW w:w="1251" w:type="dxa"/>
            <w:tcBorders>
              <w:top w:val="single" w:sz="4" w:space="0" w:color="000000"/>
              <w:left w:val="single" w:sz="4" w:space="0" w:color="000000"/>
              <w:bottom w:val="single" w:sz="4" w:space="0" w:color="000000"/>
              <w:right w:val="single" w:sz="4" w:space="0" w:color="000000"/>
            </w:tcBorders>
          </w:tcPr>
          <w:p w:rsidR="000C50BE" w:rsidRDefault="003D201F">
            <w:pPr>
              <w:spacing w:after="0" w:line="240" w:lineRule="auto"/>
              <w:jc w:val="center"/>
              <w:rPr>
                <w:rFonts w:ascii="Times New Roman" w:hAnsi="Times New Roman"/>
                <w:sz w:val="24"/>
                <w:szCs w:val="24"/>
              </w:rPr>
            </w:pPr>
            <w:r>
              <w:rPr>
                <w:rFonts w:ascii="Times New Roman" w:hAnsi="Times New Roman"/>
                <w:sz w:val="24"/>
                <w:szCs w:val="24"/>
              </w:rPr>
              <w:t>104,82</w:t>
            </w:r>
          </w:p>
        </w:tc>
      </w:tr>
    </w:tbl>
    <w:p w:rsidR="000C50BE" w:rsidRDefault="000C50BE">
      <w:pPr>
        <w:spacing w:after="0" w:line="240" w:lineRule="auto"/>
        <w:ind w:firstLine="709"/>
        <w:jc w:val="both"/>
        <w:rPr>
          <w:rFonts w:ascii="Times New Roman" w:hAnsi="Times New Roman"/>
          <w:sz w:val="24"/>
          <w:szCs w:val="24"/>
        </w:rPr>
      </w:pPr>
    </w:p>
    <w:p w:rsidR="000C50BE" w:rsidRDefault="003D201F">
      <w:pPr>
        <w:spacing w:after="0" w:line="240" w:lineRule="auto"/>
        <w:ind w:firstLine="709"/>
        <w:jc w:val="both"/>
      </w:pPr>
      <w:r>
        <w:rPr>
          <w:rFonts w:ascii="Times New Roman" w:hAnsi="Times New Roman"/>
          <w:sz w:val="24"/>
          <w:szCs w:val="24"/>
        </w:rPr>
        <w:t xml:space="preserve">На 01.01.2022 г. родилось 356 чел., что на 17 детей </w:t>
      </w:r>
      <w:r>
        <w:rPr>
          <w:rFonts w:ascii="Times New Roman" w:hAnsi="Times New Roman"/>
          <w:i/>
          <w:sz w:val="24"/>
          <w:szCs w:val="24"/>
        </w:rPr>
        <w:t>меньше</w:t>
      </w:r>
      <w:r>
        <w:rPr>
          <w:rFonts w:ascii="Times New Roman" w:hAnsi="Times New Roman"/>
          <w:sz w:val="24"/>
          <w:szCs w:val="24"/>
        </w:rPr>
        <w:t xml:space="preserve">, чем на 01.01.2021 г. (373 детей). </w:t>
      </w:r>
      <w:r>
        <w:rPr>
          <w:rFonts w:ascii="Times New Roman" w:hAnsi="Times New Roman"/>
          <w:i/>
          <w:sz w:val="24"/>
          <w:szCs w:val="24"/>
        </w:rPr>
        <w:t>Снижение</w:t>
      </w:r>
      <w:r>
        <w:rPr>
          <w:rFonts w:ascii="Times New Roman" w:hAnsi="Times New Roman"/>
          <w:sz w:val="24"/>
          <w:szCs w:val="24"/>
        </w:rPr>
        <w:t xml:space="preserve"> рождаемости незначительное.</w:t>
      </w:r>
    </w:p>
    <w:p w:rsidR="000C50BE" w:rsidRDefault="003D201F">
      <w:pPr>
        <w:spacing w:after="0" w:line="240" w:lineRule="auto"/>
        <w:ind w:firstLine="709"/>
        <w:jc w:val="both"/>
      </w:pPr>
      <w:r>
        <w:rPr>
          <w:rFonts w:ascii="Times New Roman" w:eastAsia="Times New Roman" w:hAnsi="Times New Roman"/>
          <w:sz w:val="24"/>
          <w:szCs w:val="24"/>
          <w:lang w:eastAsia="ar-SA"/>
        </w:rPr>
        <w:t>В сравнении с планом на 01.01.2022 г. отмечено отклонение темпа роста числа родившихся на - 21,12 процентных пункта.</w:t>
      </w:r>
    </w:p>
    <w:p w:rsidR="000C50BE" w:rsidRDefault="003D201F">
      <w:pPr>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Причина отклонения от планового значения связана с: увеличением числа разводов и смертности. Тяжелая эпидемиологическая ситуация в связи с </w:t>
      </w:r>
      <w:r>
        <w:rPr>
          <w:rFonts w:ascii="Times New Roman" w:hAnsi="Times New Roman"/>
          <w:sz w:val="24"/>
          <w:szCs w:val="24"/>
        </w:rPr>
        <w:t>COVID-19 и появлением новых штаммов</w:t>
      </w:r>
      <w:r>
        <w:rPr>
          <w:rFonts w:ascii="Times New Roman" w:eastAsia="Times New Roman" w:hAnsi="Times New Roman"/>
          <w:sz w:val="24"/>
          <w:szCs w:val="24"/>
          <w:lang w:eastAsia="ar-SA"/>
        </w:rPr>
        <w:t xml:space="preserve"> в Майминском районе так же повлияло на снижение рождаемости.</w:t>
      </w:r>
    </w:p>
    <w:p w:rsidR="000C50BE" w:rsidRDefault="003D201F">
      <w:pPr>
        <w:spacing w:after="0" w:line="240" w:lineRule="auto"/>
        <w:ind w:firstLine="709"/>
        <w:jc w:val="both"/>
      </w:pPr>
      <w:r>
        <w:rPr>
          <w:rFonts w:ascii="Times New Roman" w:hAnsi="Times New Roman"/>
          <w:sz w:val="24"/>
          <w:szCs w:val="24"/>
        </w:rPr>
        <w:t xml:space="preserve">Смертность населения на 01.01.2022 г. по отношению к уровню аналогичного периода прошлого года </w:t>
      </w:r>
      <w:r>
        <w:rPr>
          <w:rFonts w:ascii="Times New Roman" w:hAnsi="Times New Roman"/>
          <w:i/>
          <w:sz w:val="24"/>
          <w:szCs w:val="24"/>
        </w:rPr>
        <w:t>увеличилась</w:t>
      </w:r>
      <w:r>
        <w:rPr>
          <w:rFonts w:ascii="Times New Roman" w:hAnsi="Times New Roman"/>
          <w:sz w:val="24"/>
          <w:szCs w:val="24"/>
        </w:rPr>
        <w:t xml:space="preserve"> на 135 чел. или на 139,59%. Увеличение обусловлено тем, что эпидемиологическая ситуация в Республике Алтай по заболеваемости COVID-19 в 2022 году продолжает оставаться напряженной.</w:t>
      </w:r>
    </w:p>
    <w:p w:rsidR="000C50BE" w:rsidRDefault="003D201F">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Основной причиной смертности на 01.01.2022 года по основным классам причин смертности являются: </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-болезни системы кровообращения - 507,3 промилле (далее – ‰) в абсолютном</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значении 175 чел. (36,8 % от всех случаев);</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-COVID - 345,0 ‰ в абсолютном значении 119 чел. (25,0 %);</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-новообразования - 168,1 ‰ в абсолютном значении 58 чел. (12,2 %);</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-травмы, отравления и другие последствия - 139,1 ‰ в абсолютном значении 48</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4"/>
          <w:szCs w:val="24"/>
        </w:rPr>
      </w:pPr>
      <w:r>
        <w:rPr>
          <w:rFonts w:ascii="Times New Roman" w:hAnsi="Times New Roman"/>
          <w:sz w:val="24"/>
        </w:rPr>
        <w:t>чел. (10,1 %).</w:t>
      </w:r>
    </w:p>
    <w:p w:rsidR="000C50BE" w:rsidRDefault="003D201F">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Одним из факторов роста численности населения является миграционный прирост. Число прибывших на 01.01.2022 г. составило 1815 чел., что на 38,81 % выше аналогичного периода прошлого года. Число выбывших на 01.01.2022 г. составило 1631 чел., что на </w:t>
      </w:r>
    </w:p>
    <w:p w:rsidR="000C50BE" w:rsidRDefault="003D201F">
      <w:pPr>
        <w:spacing w:after="0" w:line="240" w:lineRule="auto"/>
        <w:ind w:firstLine="709"/>
        <w:jc w:val="both"/>
        <w:rPr>
          <w:rFonts w:ascii="Times New Roman" w:hAnsi="Times New Roman"/>
          <w:sz w:val="24"/>
          <w:szCs w:val="24"/>
        </w:rPr>
      </w:pPr>
      <w:r>
        <w:rPr>
          <w:rFonts w:ascii="Times New Roman" w:hAnsi="Times New Roman"/>
          <w:sz w:val="24"/>
          <w:szCs w:val="24"/>
        </w:rPr>
        <w:t>11,93% выше аналогичного периода прошлого года. Миграционный прирост на 01.01.2022 г. составил 184 чел.</w:t>
      </w:r>
    </w:p>
    <w:p w:rsidR="000C50BE" w:rsidRDefault="003D201F">
      <w:pPr>
        <w:spacing w:after="0" w:line="240" w:lineRule="auto"/>
        <w:ind w:firstLine="709"/>
        <w:jc w:val="both"/>
      </w:pPr>
      <w:r>
        <w:rPr>
          <w:rFonts w:ascii="Times New Roman" w:hAnsi="Times New Roman"/>
          <w:sz w:val="24"/>
          <w:szCs w:val="24"/>
        </w:rPr>
        <w:t xml:space="preserve">Число браков на 01.01.2022 г. </w:t>
      </w:r>
      <w:r>
        <w:rPr>
          <w:rFonts w:ascii="Times New Roman" w:hAnsi="Times New Roman"/>
          <w:i/>
          <w:sz w:val="24"/>
          <w:szCs w:val="24"/>
        </w:rPr>
        <w:t>увеличилось</w:t>
      </w:r>
      <w:r>
        <w:rPr>
          <w:rFonts w:ascii="Times New Roman" w:hAnsi="Times New Roman"/>
          <w:sz w:val="24"/>
          <w:szCs w:val="24"/>
        </w:rPr>
        <w:t xml:space="preserve"> на 31,45 %, число разводов </w:t>
      </w:r>
      <w:r>
        <w:rPr>
          <w:rFonts w:ascii="Times New Roman" w:hAnsi="Times New Roman"/>
          <w:i/>
          <w:sz w:val="24"/>
          <w:szCs w:val="24"/>
        </w:rPr>
        <w:t>увеличилось</w:t>
      </w:r>
      <w:r>
        <w:rPr>
          <w:rFonts w:ascii="Times New Roman" w:hAnsi="Times New Roman"/>
          <w:sz w:val="24"/>
          <w:szCs w:val="24"/>
        </w:rPr>
        <w:t xml:space="preserve"> на 17,24%. На динамику числа браков и разводов свое влияние оказала пандемия, так как в 2021 г. из-за карантинных мероприятий было введено ограничение по регистрационным мероприятиям</w:t>
      </w:r>
      <w:r>
        <w:rPr>
          <w:rFonts w:ascii="Times New Roman" w:hAnsi="Times New Roman"/>
          <w:spacing w:val="3"/>
          <w:sz w:val="24"/>
          <w:szCs w:val="24"/>
        </w:rPr>
        <w:t>.</w:t>
      </w:r>
    </w:p>
    <w:p w:rsidR="000C50BE" w:rsidRDefault="000C50BE">
      <w:pPr>
        <w:spacing w:after="0" w:line="240" w:lineRule="auto"/>
        <w:ind w:firstLine="709"/>
        <w:jc w:val="both"/>
        <w:rPr>
          <w:rFonts w:ascii="Times New Roman" w:hAnsi="Times New Roman"/>
          <w:b/>
          <w:sz w:val="24"/>
          <w:szCs w:val="24"/>
        </w:rPr>
      </w:pPr>
    </w:p>
    <w:p w:rsidR="000C50BE" w:rsidRDefault="003D201F">
      <w:pPr>
        <w:spacing w:after="0" w:line="240" w:lineRule="auto"/>
        <w:ind w:firstLine="709"/>
        <w:jc w:val="both"/>
        <w:rPr>
          <w:rFonts w:ascii="Times New Roman" w:hAnsi="Times New Roman"/>
          <w:b/>
          <w:bCs/>
          <w:sz w:val="24"/>
          <w:szCs w:val="24"/>
        </w:rPr>
      </w:pPr>
      <w:r>
        <w:rPr>
          <w:rFonts w:ascii="Times New Roman" w:hAnsi="Times New Roman"/>
          <w:b/>
          <w:bCs/>
          <w:sz w:val="24"/>
          <w:szCs w:val="24"/>
        </w:rPr>
        <w:t>4.4. Социальная сфера</w:t>
      </w:r>
    </w:p>
    <w:p w:rsidR="000C50BE" w:rsidRDefault="003D201F">
      <w:pPr>
        <w:spacing w:after="0" w:line="240" w:lineRule="auto"/>
        <w:ind w:firstLine="709"/>
        <w:jc w:val="both"/>
        <w:rPr>
          <w:rFonts w:ascii="Times New Roman" w:hAnsi="Times New Roman"/>
          <w:b/>
          <w:bCs/>
          <w:i/>
          <w:sz w:val="24"/>
          <w:szCs w:val="24"/>
        </w:rPr>
      </w:pPr>
      <w:r>
        <w:rPr>
          <w:rFonts w:ascii="Times New Roman" w:hAnsi="Times New Roman"/>
          <w:b/>
          <w:bCs/>
          <w:i/>
          <w:sz w:val="24"/>
          <w:szCs w:val="24"/>
        </w:rPr>
        <w:t>Отношение количества малообеспеченных семей к общему количеству семей</w:t>
      </w:r>
    </w:p>
    <w:p w:rsidR="000C50BE" w:rsidRDefault="003D201F">
      <w:pPr>
        <w:spacing w:after="0" w:line="240" w:lineRule="auto"/>
        <w:ind w:firstLine="709"/>
        <w:contextualSpacing/>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По данным Социального паспорта на 01.01.2022 года общее количество семей – 7776, из них малообеспеченных семей (доход на одного члена семьи не превышает величину прожиточного минимума) – 2800.</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В целях повышения качества жизни населения МО «Майминский район» принимаются следующие меры:</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-обеспечение роста доходов населения, а также сокращение показателей бедности (сокращение доли населения, имеющей доходы ниже прожиточного минимума), сокращение уровня дифференциации населения по доходам;</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-развитие рынка труда, повышение эффективности занятости населения, снижение социальной напряженности;</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-обеспечение равного доступа к социальным (в том числе, оказываемым учреждениям образования, здравоохранения, культуры) услугам, обеспечение социальной защиты населения, подготовка системы социальной защиты к росту нагрузки неработающего населения старших возрастных групп на население трудоспособного возраста и корректировка в связи с этим стратегии развития социальных инфраструктур;</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-улучшение жилищной обеспеченности населения;</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-повышение качества предоставляемых коммунальных услуг и инфраструктурой обеспеченности населения;</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-реализация мероприятий, направленных на улучшение досуга населения, обеспечение равного доступа к культурным ценностям и информации.</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sz w:val="24"/>
          <w:lang w:eastAsia="ar-SA"/>
        </w:rPr>
        <w:t>В 2021 г. 283 семьи Майминского района получили государственную помощь в виде социального контракта через КУ РА «Управление социальной поддержки населения Майминского района»:</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sz w:val="24"/>
          <w:lang w:eastAsia="ar-SA"/>
        </w:rPr>
        <w:t>-на осуществление индивидуальной предпринимательской деятельности -75;</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sz w:val="24"/>
          <w:lang w:eastAsia="ar-SA"/>
        </w:rPr>
        <w:t>-на оказание помощи в преодолении тяжелой жизненной ситуации - 76;</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sz w:val="24"/>
          <w:lang w:eastAsia="ar-SA"/>
        </w:rPr>
        <w:t>-помощь в трудоустройстве (направлении на обучение) - 81;</w:t>
      </w:r>
    </w:p>
    <w:p w:rsidR="000C50BE" w:rsidRDefault="003D201F">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r>
        <w:rPr>
          <w:rFonts w:ascii="Times New Roman" w:eastAsia="Times New Roman" w:hAnsi="Times New Roman"/>
          <w:sz w:val="24"/>
          <w:lang w:eastAsia="ar-SA"/>
        </w:rPr>
        <w:t>-на ведение личного подсобного хозяйства - 51.</w:t>
      </w:r>
    </w:p>
    <w:p w:rsidR="000C50BE" w:rsidRDefault="000C50BE">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sz w:val="24"/>
          <w:szCs w:val="24"/>
          <w:lang w:eastAsia="ar-SA"/>
        </w:rPr>
      </w:pP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b/>
          <w:i/>
          <w:color w:val="000000"/>
          <w:sz w:val="24"/>
        </w:rPr>
        <w:t>Отношение численности детей в возрастной группе от 2 месяцев до 8 лет, посещающих организации, осуществляющие образовательную деятельность по образовательным программам дошкольного образования, к сумме численности детей в возрастной группе от 2 месяцев до 8 лет, посещающих организации, осуществляющие образовательную деятельность по образовательным программам дошкольного образования, и численности детей в возрастной группе от 2 месяцев до 8 лет, не обеспеченных местом, нуждающихся в получении места в муниципальных и государственных организациях, осуществляющих образовательную деятельность по образовательным программам дошкольного образования</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 xml:space="preserve">Дошкольное образование на 01.01.2022 г. включает 17 дошкольных образовательных учреждений (12 муниципальных дошкольных образовательных организаций и 2 частных детских сада), 9 дошкольных групп при 5 общеобразовательных учреждениях. Как альтернативная мера предоставления услуг дошкольного образования за период с начала 2021 г. функционировало 13 групп кратковременного пребывания дошкольников для детей в возрасте 2 мес. – 7 лет. </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 xml:space="preserve">На 01.01.2022 г. обеспечено местами в ДОУ 2261 детей. Актуальная очередность детей в возрасте от 2-х месяцев до 8 лет на 01.01.2022 г. составляет 0 детей. </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 xml:space="preserve">На 01.01.2022 г. доступность дошкольного образования для детей в возрасте от 2-х месяцев до 8-х лет составляет 100 % от потребности в услугах дошкольного образования, что </w:t>
      </w:r>
      <w:r>
        <w:rPr>
          <w:rFonts w:ascii="Times New Roman" w:eastAsia="Times New Roman" w:hAnsi="Times New Roman"/>
          <w:i/>
          <w:color w:val="000000"/>
          <w:sz w:val="24"/>
        </w:rPr>
        <w:t>больше</w:t>
      </w:r>
      <w:r>
        <w:rPr>
          <w:rFonts w:ascii="Times New Roman" w:eastAsia="Times New Roman" w:hAnsi="Times New Roman"/>
          <w:color w:val="000000"/>
          <w:sz w:val="24"/>
        </w:rPr>
        <w:t xml:space="preserve"> планового значения показателя на 19 процентных пунктов. </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Темп роста к аналогичному периоду прошлого года составил 0,6 %. В целях обеспечения достижения целевого показателя на 01.01.2022 г. проведены следующие мероприятия:</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1) Открытие ГКП при МБОУ «Манжерокская СОШ» дошкольная группа «Дошколенок» на 10 мест.</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 xml:space="preserve">2) Открытие МАДОУ «Детский сад «Суунчи» с. Майма» на 125 мест </w:t>
      </w:r>
    </w:p>
    <w:p w:rsidR="003D201F" w:rsidRDefault="003D201F" w:rsidP="003D201F">
      <w:pPr>
        <w:pBdr>
          <w:top w:val="none" w:sz="4" w:space="0" w:color="000000"/>
          <w:left w:val="none" w:sz="4" w:space="0" w:color="000000"/>
          <w:bottom w:val="none" w:sz="4" w:space="0" w:color="000000"/>
          <w:right w:val="none" w:sz="4" w:space="0" w:color="000000"/>
        </w:pBdr>
        <w:spacing w:after="160" w:line="235" w:lineRule="atLeast"/>
        <w:jc w:val="both"/>
        <w:rPr>
          <w:rFonts w:cs="Calibri"/>
          <w:color w:val="000000"/>
        </w:rPr>
      </w:pPr>
      <w:r>
        <w:rPr>
          <w:rFonts w:cs="Calibri"/>
          <w:color w:val="000000"/>
        </w:rPr>
        <w:t> </w:t>
      </w:r>
      <w:r>
        <w:rPr>
          <w:rFonts w:cs="Calibri"/>
          <w:color w:val="000000"/>
        </w:rPr>
        <w:tab/>
      </w:r>
    </w:p>
    <w:p w:rsidR="000C50BE" w:rsidRDefault="003D201F" w:rsidP="003D201F">
      <w:pPr>
        <w:pBdr>
          <w:top w:val="none" w:sz="4" w:space="0" w:color="000000"/>
          <w:left w:val="none" w:sz="4" w:space="0" w:color="000000"/>
          <w:bottom w:val="none" w:sz="4" w:space="0" w:color="000000"/>
          <w:right w:val="none" w:sz="4" w:space="0" w:color="000000"/>
        </w:pBdr>
        <w:spacing w:after="160" w:line="235" w:lineRule="atLeast"/>
        <w:ind w:firstLine="709"/>
        <w:jc w:val="both"/>
      </w:pPr>
      <w:r>
        <w:rPr>
          <w:rFonts w:ascii="Times New Roman" w:hAnsi="Times New Roman"/>
          <w:b/>
          <w:bCs/>
          <w:i/>
          <w:sz w:val="24"/>
          <w:szCs w:val="24"/>
        </w:rPr>
        <w:t>Отношение численности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к общей численности детей в возрасте от 5 до 18 лет</w:t>
      </w:r>
    </w:p>
    <w:p w:rsidR="000C50BE" w:rsidRDefault="003D201F">
      <w:pPr>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lang w:eastAsia="ru-RU"/>
        </w:rPr>
        <w:t xml:space="preserve">На 01.01.2022 г. в МО «Майминский район» функционируют 2 учреждения дополнительного образования: </w:t>
      </w:r>
      <w:r>
        <w:rPr>
          <w:rFonts w:ascii="Times New Roman" w:eastAsia="Times New Roman" w:hAnsi="Times New Roman"/>
          <w:color w:val="000000"/>
          <w:sz w:val="24"/>
          <w:highlight w:val="white"/>
        </w:rPr>
        <w:t>МБУ ДО «Майминская детская школа искусств» – 550 воспитанников, МБУ ДО «Майминский районный центр творчества им. В.Г. Софронова» – 322 воспитанника. Стоит отметить, что МБУ ДО «ДШИ» осуществляет свою деятельность по предпрофессиональным программам, а «ЦДТ» по общеразвивающим программам.</w:t>
      </w:r>
    </w:p>
    <w:p w:rsidR="000C50BE" w:rsidRDefault="003D201F">
      <w:pPr>
        <w:spacing w:after="0" w:line="240" w:lineRule="auto"/>
        <w:ind w:firstLine="709"/>
        <w:contextualSpacing/>
        <w:jc w:val="both"/>
      </w:pPr>
      <w:r>
        <w:rPr>
          <w:rFonts w:ascii="Times New Roman" w:eastAsia="Times New Roman" w:hAnsi="Times New Roman"/>
          <w:sz w:val="24"/>
          <w:szCs w:val="24"/>
          <w:lang w:eastAsia="ru-RU"/>
        </w:rPr>
        <w:t xml:space="preserve">Количество детей в возрасте от 5 до 18 лет, получающих услуги по дополнительному образованию, составило 5467 чел. </w:t>
      </w:r>
    </w:p>
    <w:p w:rsidR="000C50BE" w:rsidRDefault="003D201F">
      <w:pPr>
        <w:spacing w:after="0" w:line="240" w:lineRule="auto"/>
        <w:ind w:firstLine="709"/>
        <w:contextualSpacing/>
        <w:jc w:val="both"/>
      </w:pPr>
      <w:r>
        <w:rPr>
          <w:rFonts w:ascii="Times New Roman" w:eastAsia="Times New Roman" w:hAnsi="Times New Roman"/>
          <w:sz w:val="24"/>
          <w:szCs w:val="24"/>
          <w:lang w:eastAsia="ru-RU"/>
        </w:rPr>
        <w:t xml:space="preserve">По состоянию на 01.01.2022 г. доля детей в возрасте от 5 до 18 лет, получающих услуги по дополнительному образованию, от общего количества детей в возрасте от 5 до 18 лет (6607 чел.), составляет 82,7 %, что </w:t>
      </w:r>
      <w:r>
        <w:rPr>
          <w:rFonts w:ascii="Times New Roman" w:eastAsia="Times New Roman" w:hAnsi="Times New Roman"/>
          <w:i/>
          <w:sz w:val="24"/>
          <w:szCs w:val="24"/>
          <w:lang w:eastAsia="ru-RU"/>
        </w:rPr>
        <w:t xml:space="preserve">больше </w:t>
      </w:r>
      <w:r>
        <w:rPr>
          <w:rFonts w:ascii="Times New Roman" w:eastAsia="Times New Roman" w:hAnsi="Times New Roman"/>
          <w:sz w:val="24"/>
          <w:szCs w:val="24"/>
          <w:lang w:eastAsia="ru-RU"/>
        </w:rPr>
        <w:t>аналогичного периода прошлого года на 7,3 процентных пунктов (на 01.01.2021 г. - 75,4 %).</w:t>
      </w:r>
    </w:p>
    <w:p w:rsidR="000C50BE" w:rsidRDefault="003D201F">
      <w:pPr>
        <w:spacing w:after="0" w:line="240" w:lineRule="auto"/>
        <w:ind w:firstLine="709"/>
        <w:contextualSpacing/>
        <w:jc w:val="both"/>
        <w:rPr>
          <w:sz w:val="24"/>
        </w:rPr>
      </w:pPr>
      <w:r>
        <w:rPr>
          <w:rFonts w:ascii="Times New Roman" w:eastAsia="Times New Roman" w:hAnsi="Times New Roman"/>
          <w:sz w:val="24"/>
          <w:szCs w:val="24"/>
          <w:lang w:eastAsia="ru-RU"/>
        </w:rPr>
        <w:t xml:space="preserve">В сравнении с планом на 01.01.2022 г. отмечено </w:t>
      </w:r>
      <w:r>
        <w:rPr>
          <w:rFonts w:ascii="Times New Roman" w:eastAsia="Times New Roman" w:hAnsi="Times New Roman"/>
          <w:i/>
          <w:sz w:val="24"/>
          <w:szCs w:val="24"/>
          <w:lang w:eastAsia="ru-RU"/>
        </w:rPr>
        <w:t>увеличение</w:t>
      </w:r>
      <w:r>
        <w:rPr>
          <w:rFonts w:ascii="Times New Roman" w:eastAsia="Times New Roman" w:hAnsi="Times New Roman"/>
          <w:sz w:val="24"/>
          <w:szCs w:val="24"/>
          <w:lang w:eastAsia="ru-RU"/>
        </w:rPr>
        <w:t xml:space="preserve"> показателя на 6,8 процентных пункта, что обусловлено следующими причинами: </w:t>
      </w:r>
      <w:r>
        <w:rPr>
          <w:rFonts w:ascii="Times New Roman" w:eastAsia="Times New Roman" w:hAnsi="Times New Roman"/>
          <w:color w:val="000000"/>
          <w:sz w:val="24"/>
          <w:highlight w:val="white"/>
        </w:rPr>
        <w:t>сетевое взаимодействие с дошкольными и общеобразовательными учреждениями МО «Майминский район» по дополнительным общеобразовательным программам</w:t>
      </w:r>
      <w:r>
        <w:rPr>
          <w:rFonts w:ascii="Times New Roman" w:eastAsia="Times New Roman" w:hAnsi="Times New Roman"/>
          <w:color w:val="000000"/>
          <w:sz w:val="28"/>
          <w:highlight w:val="white"/>
        </w:rPr>
        <w:t>.</w:t>
      </w:r>
    </w:p>
    <w:p w:rsidR="003D201F" w:rsidRDefault="003D201F">
      <w:pPr>
        <w:spacing w:after="0" w:line="240" w:lineRule="auto"/>
        <w:ind w:firstLine="709"/>
        <w:jc w:val="both"/>
        <w:rPr>
          <w:rFonts w:ascii="Times New Roman" w:eastAsia="Times New Roman" w:hAnsi="Times New Roman"/>
          <w:b/>
          <w:i/>
          <w:sz w:val="24"/>
          <w:szCs w:val="24"/>
          <w:lang w:eastAsia="ar-SA"/>
        </w:rPr>
      </w:pPr>
    </w:p>
    <w:p w:rsidR="000C50BE" w:rsidRDefault="003D201F">
      <w:pPr>
        <w:spacing w:after="0" w:line="240" w:lineRule="auto"/>
        <w:ind w:firstLine="709"/>
        <w:jc w:val="both"/>
        <w:rPr>
          <w:rFonts w:ascii="Times New Roman" w:eastAsia="Times New Roman" w:hAnsi="Times New Roman"/>
          <w:b/>
          <w:i/>
          <w:sz w:val="24"/>
          <w:szCs w:val="24"/>
          <w:lang w:eastAsia="ar-SA"/>
        </w:rPr>
      </w:pPr>
      <w:r>
        <w:rPr>
          <w:rFonts w:ascii="Times New Roman" w:eastAsia="Times New Roman" w:hAnsi="Times New Roman"/>
          <w:b/>
          <w:i/>
          <w:sz w:val="24"/>
          <w:szCs w:val="24"/>
          <w:lang w:eastAsia="ar-SA"/>
        </w:rPr>
        <w:t xml:space="preserve">Число несовершеннолетних, пострадавших от преступных посягательств </w:t>
      </w:r>
    </w:p>
    <w:p w:rsidR="000C50BE" w:rsidRDefault="003D201F">
      <w:pPr>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Численность несовершеннолетних, потерпевших от преступных посягательств, в МО «Майминский район» на 01.01.2022 г. составила 105 чел., в сравнении с аналогичным периодом 2020 г. темп роста составил 115,4 %, абсолютное увеличение – 14 чел. (на 01.01.2021 г. – 91 чел.). </w:t>
      </w:r>
    </w:p>
    <w:p w:rsidR="000C50BE" w:rsidRDefault="003D201F">
      <w:pPr>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Показатель несовершеннолетних, потерпевших от преступных посягательств, на 1000 человек в возрасте от 0 до 18 лет, на 01.01.2022 г. года составил 12,1 ед., в сравнении с аналогичным периодом 2020 г. показатель увеличился на 1,9 ед. (на 01.01.2021 г. - 10,2 ед.). Плановый показатель составляет 6,2. Отклонение фактического значения целевого показателя от плана составило + 5,9 ед. (194,35%).</w:t>
      </w:r>
    </w:p>
    <w:p w:rsidR="000C50BE" w:rsidRDefault="003D201F">
      <w:pPr>
        <w:pBdr>
          <w:top w:val="none" w:sz="4" w:space="0" w:color="000000"/>
          <w:left w:val="none" w:sz="4" w:space="0" w:color="000000"/>
          <w:bottom w:val="none" w:sz="4" w:space="0" w:color="000000"/>
          <w:right w:val="none" w:sz="4" w:space="0" w:color="000000"/>
        </w:pBdr>
        <w:spacing w:after="0"/>
        <w:ind w:firstLine="708"/>
        <w:jc w:val="both"/>
      </w:pPr>
      <w:r>
        <w:rPr>
          <w:rFonts w:ascii="Times New Roman" w:eastAsia="Times New Roman" w:hAnsi="Times New Roman"/>
          <w:color w:val="000000"/>
          <w:sz w:val="24"/>
        </w:rPr>
        <w:t xml:space="preserve">Статьей 4 Федерального закона №120-ФЗ «Об основах системы профилактики безнадзорности и правонарушений несовершеннолетних» определены субъекты системы профилактики безнадзорности и правонарушений несовершеннолетних, которые входят в Комиссию. На территории МО «Майминский район» это – КУ РА «Управление социальной поддержки населения», отделение опеки и попечительства, Управление образования, Управления по трудовым отношениям и социальным вопросам Администрации МО «Майминский район», БУЗ РА «Майминская районная больница», Филиала КУ РА «Центр занятости населения по Республике Алтай» по Майминскому району, отдел МВД России по Майминскому району, ФКУ ОФСИН России по РА. </w:t>
      </w:r>
    </w:p>
    <w:p w:rsidR="000C50BE" w:rsidRDefault="003D201F">
      <w:pPr>
        <w:pBdr>
          <w:top w:val="none" w:sz="4" w:space="0" w:color="000000"/>
          <w:left w:val="none" w:sz="4" w:space="0" w:color="000000"/>
          <w:bottom w:val="none" w:sz="4" w:space="0" w:color="000000"/>
          <w:right w:val="none" w:sz="4" w:space="0" w:color="000000"/>
        </w:pBdr>
        <w:spacing w:after="0"/>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rPr>
        <w:t>Комиссией по делам несовершеннолетних и защите их прав при администрации МО «Майминский район»</w:t>
      </w:r>
      <w:r>
        <w:rPr>
          <w:rFonts w:ascii="Times New Roman" w:eastAsia="Times New Roman" w:hAnsi="Times New Roman"/>
          <w:sz w:val="24"/>
          <w:lang w:eastAsia="ar-SA"/>
        </w:rPr>
        <w:t xml:space="preserve"> в 2021 году проведено 26 заседаний, на которых рассмотрено 391 вопрос.</w:t>
      </w:r>
      <w:r>
        <w:rPr>
          <w:rFonts w:ascii="Times New Roman" w:eastAsia="Times New Roman" w:hAnsi="Times New Roman"/>
          <w:color w:val="000000"/>
          <w:sz w:val="24"/>
        </w:rPr>
        <w:t xml:space="preserve"> Привлечено к административной ответственности 169 родителей (штраф– 93, предупреждения–76), 64 несовершеннолетних. </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Ежедневно всеми субъектами комиссии по делам несовершеннолетних проводится огромная работа по</w:t>
      </w:r>
      <w:r w:rsidR="00655046">
        <w:rPr>
          <w:rFonts w:ascii="Times New Roman" w:eastAsia="Times New Roman" w:hAnsi="Times New Roman"/>
          <w:color w:val="000000"/>
          <w:sz w:val="24"/>
        </w:rPr>
        <w:t xml:space="preserve"> </w:t>
      </w:r>
      <w:r>
        <w:rPr>
          <w:rFonts w:ascii="Times New Roman" w:eastAsia="Times New Roman" w:hAnsi="Times New Roman"/>
          <w:color w:val="000000"/>
          <w:sz w:val="24"/>
        </w:rPr>
        <w:t>профилактике безнадзорности и правонарушений несовершеннолетних, организации профилактической работы с несовершеннолетними, семьями, находящимися в социально опасном положении.</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rPr>
        <w:t>Организовано и проведено 137 межведомственных рейдовых мероприятия, подготовлены информационные буклеты «Права и обязанности родителей», «Права ребенка», «Ответственность несовершеннолетних», «10 ошибок в воспитании: чего не надо делать», «8 простых, но бесконечно теплых фраз, которые делают ребенка счастливее», «10 заповедей для родителей», «Советы родителям и детям», «Советы детям».</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rPr>
          <w:szCs w:val="24"/>
        </w:rPr>
      </w:pPr>
      <w:r>
        <w:rPr>
          <w:rFonts w:ascii="Times New Roman" w:eastAsia="Times New Roman" w:hAnsi="Times New Roman"/>
          <w:color w:val="000000"/>
          <w:sz w:val="24"/>
        </w:rPr>
        <w:t>В ходе проведения рейдовых мероприятий представителями органов и учреждений системы профилактики безнадзорности и правонарушений района среди населения распространялись информационные листы по темам:</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ответственность за продажу алкогольной продукции несовершеннолетним;</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что означает «быть ответственным родителем»;</w:t>
      </w:r>
    </w:p>
    <w:p w:rsidR="000C50BE" w:rsidRDefault="003D201F">
      <w:pPr>
        <w:pBdr>
          <w:top w:val="none" w:sz="4" w:space="0" w:color="000000"/>
          <w:left w:val="none" w:sz="4" w:space="0" w:color="000000"/>
          <w:bottom w:val="none" w:sz="4" w:space="0" w:color="000000"/>
          <w:right w:val="none" w:sz="4" w:space="0" w:color="000000"/>
        </w:pBdr>
        <w:spacing w:after="0"/>
        <w:ind w:firstLine="709"/>
        <w:jc w:val="both"/>
      </w:pPr>
      <w:r>
        <w:rPr>
          <w:rFonts w:ascii="Times New Roman" w:eastAsia="Times New Roman" w:hAnsi="Times New Roman"/>
          <w:color w:val="000000"/>
          <w:sz w:val="24"/>
        </w:rPr>
        <w:t>- соблюдение требований по предупреждению причинения вреда здоровью детей и их развитию;</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что должен знать родитель о сексуальном развитии детей;</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влияние курения на организм;</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профилактика детского травматизма зимой;</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о мерах пожарной безопасности в жилье;</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служба спасения 112;</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xml:space="preserve">- </w:t>
      </w:r>
      <w:r w:rsidR="00655046">
        <w:rPr>
          <w:rFonts w:ascii="Times New Roman" w:eastAsia="Times New Roman" w:hAnsi="Times New Roman"/>
          <w:color w:val="000000"/>
          <w:sz w:val="24"/>
        </w:rPr>
        <w:t>«К</w:t>
      </w:r>
      <w:r>
        <w:rPr>
          <w:rFonts w:ascii="Times New Roman" w:eastAsia="Times New Roman" w:hAnsi="Times New Roman"/>
          <w:color w:val="000000"/>
          <w:sz w:val="24"/>
        </w:rPr>
        <w:t>уда обратиться, если есть подозрения о нахождении ребенка в «группах смерти»?</w:t>
      </w:r>
      <w:r w:rsidR="00655046">
        <w:rPr>
          <w:rFonts w:ascii="Times New Roman" w:eastAsia="Times New Roman" w:hAnsi="Times New Roman"/>
          <w:color w:val="000000"/>
          <w:sz w:val="24"/>
        </w:rPr>
        <w:t>»</w:t>
      </w:r>
      <w:r>
        <w:rPr>
          <w:rFonts w:ascii="Times New Roman" w:eastAsia="Times New Roman" w:hAnsi="Times New Roman"/>
          <w:color w:val="000000"/>
          <w:sz w:val="24"/>
        </w:rPr>
        <w:t>;</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причины ухода ребенка из дома;</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как не допускать правонарушение;</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xml:space="preserve">- </w:t>
      </w:r>
      <w:r w:rsidR="00655046">
        <w:rPr>
          <w:rFonts w:ascii="Times New Roman" w:eastAsia="Times New Roman" w:hAnsi="Times New Roman"/>
          <w:color w:val="000000"/>
          <w:sz w:val="24"/>
        </w:rPr>
        <w:t>«Н</w:t>
      </w:r>
      <w:r>
        <w:rPr>
          <w:rFonts w:ascii="Times New Roman" w:eastAsia="Times New Roman" w:hAnsi="Times New Roman"/>
          <w:color w:val="000000"/>
          <w:sz w:val="24"/>
        </w:rPr>
        <w:t>ет! Жестокому обращению с детьми!</w:t>
      </w:r>
      <w:r w:rsidR="00655046">
        <w:rPr>
          <w:rFonts w:ascii="Times New Roman" w:eastAsia="Times New Roman" w:hAnsi="Times New Roman"/>
          <w:color w:val="000000"/>
          <w:sz w:val="24"/>
        </w:rPr>
        <w:t>»</w:t>
      </w:r>
      <w:r>
        <w:rPr>
          <w:rFonts w:ascii="Times New Roman" w:eastAsia="Times New Roman" w:hAnsi="Times New Roman"/>
          <w:color w:val="000000"/>
          <w:sz w:val="24"/>
        </w:rPr>
        <w:t>;</w:t>
      </w:r>
    </w:p>
    <w:p w:rsidR="000C50BE" w:rsidRDefault="003D201F">
      <w:pPr>
        <w:pBdr>
          <w:top w:val="none" w:sz="4" w:space="0" w:color="000000"/>
          <w:left w:val="none" w:sz="4" w:space="0" w:color="000000"/>
          <w:bottom w:val="none" w:sz="4" w:space="0" w:color="000000"/>
          <w:right w:val="none" w:sz="4" w:space="0" w:color="000000"/>
        </w:pBdr>
        <w:spacing w:after="0"/>
        <w:ind w:left="709"/>
        <w:jc w:val="both"/>
      </w:pPr>
      <w:r>
        <w:rPr>
          <w:rFonts w:ascii="Times New Roman" w:eastAsia="Times New Roman" w:hAnsi="Times New Roman"/>
          <w:color w:val="000000"/>
          <w:sz w:val="24"/>
        </w:rPr>
        <w:t xml:space="preserve">- </w:t>
      </w:r>
      <w:r w:rsidR="00655046">
        <w:rPr>
          <w:rFonts w:ascii="Times New Roman" w:eastAsia="Times New Roman" w:hAnsi="Times New Roman"/>
          <w:color w:val="000000"/>
          <w:sz w:val="24"/>
        </w:rPr>
        <w:t>«Н</w:t>
      </w:r>
      <w:r>
        <w:rPr>
          <w:rFonts w:ascii="Times New Roman" w:eastAsia="Times New Roman" w:hAnsi="Times New Roman"/>
          <w:color w:val="000000"/>
          <w:sz w:val="24"/>
        </w:rPr>
        <w:t>аучите детей говорить НЕТ!</w:t>
      </w:r>
      <w:r w:rsidR="00655046">
        <w:rPr>
          <w:rFonts w:ascii="Times New Roman" w:eastAsia="Times New Roman" w:hAnsi="Times New Roman"/>
          <w:color w:val="000000"/>
          <w:sz w:val="24"/>
        </w:rPr>
        <w:t>»</w:t>
      </w:r>
      <w:r>
        <w:rPr>
          <w:rFonts w:ascii="Times New Roman" w:eastAsia="Times New Roman" w:hAnsi="Times New Roman"/>
          <w:color w:val="000000"/>
          <w:sz w:val="24"/>
        </w:rPr>
        <w:t xml:space="preserve"> и др.</w:t>
      </w:r>
    </w:p>
    <w:p w:rsidR="000C50BE" w:rsidRDefault="003D201F">
      <w:pPr>
        <w:pBdr>
          <w:top w:val="none" w:sz="4" w:space="0" w:color="000000"/>
          <w:left w:val="none" w:sz="4" w:space="0" w:color="000000"/>
          <w:bottom w:val="none" w:sz="4" w:space="0" w:color="000000"/>
          <w:right w:val="none" w:sz="4" w:space="0" w:color="000000"/>
        </w:pBdr>
        <w:spacing w:after="0"/>
        <w:jc w:val="both"/>
        <w:rPr>
          <w:rFonts w:ascii="Times New Roman" w:eastAsia="Times New Roman" w:hAnsi="Times New Roman"/>
          <w:color w:val="000000"/>
          <w:sz w:val="24"/>
        </w:rPr>
      </w:pPr>
      <w:r>
        <w:rPr>
          <w:rFonts w:ascii="Times New Roman" w:eastAsia="Times New Roman" w:hAnsi="Times New Roman"/>
          <w:color w:val="000000"/>
          <w:sz w:val="24"/>
        </w:rPr>
        <w:tab/>
        <w:t>Также информация транслируется на Led-экране, расположенном в центре с.Майма.</w:t>
      </w:r>
    </w:p>
    <w:p w:rsidR="000C50BE" w:rsidRDefault="003D201F">
      <w:pPr>
        <w:pBdr>
          <w:top w:val="none" w:sz="4" w:space="0" w:color="000000"/>
          <w:left w:val="none" w:sz="4" w:space="0" w:color="000000"/>
          <w:bottom w:val="none" w:sz="4" w:space="0" w:color="000000"/>
          <w:right w:val="none" w:sz="4" w:space="0" w:color="000000"/>
        </w:pBdr>
        <w:spacing w:after="0"/>
        <w:ind w:firstLine="708"/>
        <w:jc w:val="both"/>
        <w:rPr>
          <w:szCs w:val="24"/>
        </w:rPr>
      </w:pPr>
      <w:r>
        <w:rPr>
          <w:rFonts w:ascii="Times New Roman" w:eastAsia="Times New Roman" w:hAnsi="Times New Roman"/>
          <w:color w:val="000000"/>
          <w:sz w:val="24"/>
        </w:rPr>
        <w:t xml:space="preserve"> </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ind w:firstLine="709"/>
        <w:jc w:val="both"/>
      </w:pPr>
      <w:r>
        <w:rPr>
          <w:rFonts w:ascii="Times New Roman" w:eastAsia="Times New Roman" w:hAnsi="Times New Roman"/>
          <w:b/>
          <w:color w:val="000000"/>
          <w:sz w:val="24"/>
        </w:rPr>
        <w:t>Раздел V. Полнота внесения муниципальным образованием и сельскими поселениями сведений по документам стратегического планирования (п. 5 ст. 11 Федерального закона от 28.06.2014 г. № 172-ФЗ) в Федеральную информационную систему стратегического планирования (ФИС СП) на базе ГАС «Управление»</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ind w:firstLine="709"/>
        <w:jc w:val="both"/>
      </w:pPr>
      <w:r>
        <w:rPr>
          <w:rFonts w:ascii="Times New Roman" w:eastAsia="Times New Roman" w:hAnsi="Times New Roman"/>
          <w:color w:val="000000"/>
          <w:sz w:val="24"/>
        </w:rPr>
        <w:t xml:space="preserve">В соответствии с пунктом 5 статьи 11 Федерального закона от 28 июня 2014 г.  </w:t>
      </w:r>
      <w:r>
        <w:rPr>
          <w:rFonts w:ascii="Times New Roman" w:eastAsia="Times New Roman" w:hAnsi="Times New Roman"/>
          <w:color w:val="000000"/>
          <w:sz w:val="24"/>
        </w:rPr>
        <w:br/>
        <w:t xml:space="preserve">  № 172-ФЗ «О стратегическом планировании в Российской Федерации» в отчетном периоде на муниципальном уровне МО «Майминский район» разработано и реализуется 34 документов стратегического планирования, в том числе 9 документов уровня муниципального района, 25 документов уровня сельских поселений. </w:t>
      </w:r>
    </w:p>
    <w:p w:rsidR="000C50BE" w:rsidRDefault="003D201F">
      <w:pPr>
        <w:spacing w:after="0" w:line="240" w:lineRule="auto"/>
        <w:ind w:firstLine="709"/>
        <w:jc w:val="both"/>
        <w:rPr>
          <w:rFonts w:ascii="Times New Roman" w:hAnsi="Times New Roman"/>
        </w:rPr>
      </w:pPr>
      <w:r>
        <w:rPr>
          <w:rFonts w:ascii="Times New Roman" w:eastAsia="Times New Roman" w:hAnsi="Times New Roman"/>
          <w:sz w:val="24"/>
          <w:szCs w:val="24"/>
        </w:rPr>
        <w:t>В течение отчетного периода в муниципальные документы стратегического планирования внесено 22 изменения. Внесения изменений в документы стратегического планирования обусловлены актуализацией документов по итогам 2021 г.</w:t>
      </w:r>
    </w:p>
    <w:p w:rsidR="000C50BE" w:rsidRDefault="003D201F">
      <w:pPr>
        <w:spacing w:after="0" w:line="240" w:lineRule="auto"/>
        <w:ind w:firstLine="709"/>
        <w:jc w:val="both"/>
        <w:rPr>
          <w:rFonts w:ascii="Times New Roman" w:hAnsi="Times New Roman"/>
        </w:rPr>
      </w:pPr>
      <w:r>
        <w:rPr>
          <w:rFonts w:ascii="Times New Roman" w:hAnsi="Times New Roman"/>
          <w:sz w:val="24"/>
          <w:szCs w:val="24"/>
        </w:rPr>
        <w:t xml:space="preserve">По итогам </w:t>
      </w:r>
      <w:r>
        <w:rPr>
          <w:rFonts w:ascii="Times New Roman" w:eastAsia="Times New Roman" w:hAnsi="Times New Roman"/>
          <w:sz w:val="24"/>
          <w:szCs w:val="24"/>
          <w:lang w:eastAsia="ru-RU"/>
        </w:rPr>
        <w:t>на 01.01.2022 г. п</w:t>
      </w:r>
      <w:r>
        <w:rPr>
          <w:rFonts w:ascii="Times New Roman" w:eastAsia="Times New Roman" w:hAnsi="Times New Roman"/>
          <w:sz w:val="24"/>
          <w:szCs w:val="24"/>
          <w:lang w:eastAsia="ar-SA"/>
        </w:rPr>
        <w:t>олнота внесения муниципальным образованием</w:t>
      </w:r>
      <w:r>
        <w:rPr>
          <w:rFonts w:ascii="Times New Roman" w:hAnsi="Times New Roman"/>
          <w:sz w:val="24"/>
          <w:szCs w:val="24"/>
        </w:rPr>
        <w:t xml:space="preserve"> </w:t>
      </w:r>
      <w:r>
        <w:rPr>
          <w:rFonts w:ascii="Times New Roman" w:hAnsi="Times New Roman"/>
          <w:sz w:val="24"/>
          <w:szCs w:val="24"/>
          <w:shd w:val="clear" w:color="auto" w:fill="FBFBFB"/>
        </w:rPr>
        <w:t xml:space="preserve">сведений по документам стратегического планирования в ФИС СП </w:t>
      </w:r>
      <w:r>
        <w:rPr>
          <w:rFonts w:ascii="Times New Roman" w:hAnsi="Times New Roman"/>
          <w:sz w:val="24"/>
          <w:szCs w:val="24"/>
        </w:rPr>
        <w:t xml:space="preserve">составил 100%. </w:t>
      </w:r>
      <w:r>
        <w:rPr>
          <w:rFonts w:ascii="Times New Roman" w:eastAsia="Times New Roman" w:hAnsi="Times New Roman"/>
          <w:sz w:val="24"/>
          <w:szCs w:val="24"/>
        </w:rPr>
        <w:t>План выполнен в полном объеме.</w:t>
      </w:r>
    </w:p>
    <w:p w:rsidR="000C50BE" w:rsidRDefault="003D201F">
      <w:pPr>
        <w:pBdr>
          <w:top w:val="none" w:sz="4" w:space="0" w:color="000000"/>
          <w:left w:val="none" w:sz="4" w:space="0" w:color="000000"/>
          <w:bottom w:val="none" w:sz="4" w:space="0" w:color="000000"/>
          <w:right w:val="none" w:sz="4" w:space="0" w:color="000000"/>
        </w:pBdr>
        <w:tabs>
          <w:tab w:val="left" w:pos="709"/>
          <w:tab w:val="left" w:pos="851"/>
        </w:tabs>
        <w:spacing w:after="0"/>
        <w:ind w:firstLine="709"/>
        <w:jc w:val="both"/>
      </w:pPr>
      <w:r>
        <w:rPr>
          <w:rFonts w:ascii="Times New Roman" w:eastAsia="Times New Roman" w:hAnsi="Times New Roman"/>
          <w:color w:val="000000"/>
          <w:sz w:val="24"/>
        </w:rPr>
        <w:t>По итогам на 01.01.2022 г. полнота внесения сельскими поселениями сведений по</w:t>
      </w:r>
      <w:r>
        <w:rPr>
          <w:rFonts w:ascii="Times New Roman" w:eastAsia="Times New Roman" w:hAnsi="Times New Roman"/>
          <w:color w:val="70AD47"/>
          <w:sz w:val="24"/>
        </w:rPr>
        <w:t xml:space="preserve"> </w:t>
      </w:r>
      <w:r>
        <w:rPr>
          <w:rFonts w:ascii="Times New Roman" w:eastAsia="Times New Roman" w:hAnsi="Times New Roman"/>
          <w:color w:val="000000"/>
          <w:sz w:val="24"/>
        </w:rPr>
        <w:t>документам стратегического планирования в ФИС СП составила 83,3%. В сравнении с планом на 01.01.2022 г. отмечено отклонение на (-) 16,7 процентных пункта. Причина отклонения от планового значения связана с тем, что по муниципальному образованию «Усть-Мунинское сельское поселение» по состоянию на 01.01.2022</w:t>
      </w:r>
      <w:r w:rsidR="00655046">
        <w:rPr>
          <w:rFonts w:ascii="Times New Roman" w:eastAsia="Times New Roman" w:hAnsi="Times New Roman"/>
          <w:color w:val="000000"/>
          <w:sz w:val="24"/>
        </w:rPr>
        <w:t xml:space="preserve"> </w:t>
      </w:r>
      <w:r>
        <w:rPr>
          <w:rFonts w:ascii="Times New Roman" w:eastAsia="Times New Roman" w:hAnsi="Times New Roman"/>
          <w:color w:val="000000"/>
          <w:sz w:val="24"/>
        </w:rPr>
        <w:t xml:space="preserve">г. утверждены две муниципальные программы, данные которых не зарегистрированы в ФИС СП и не предоставлена отчетность по ним, так как нет технической возможности и отсутствие в штате квалифицированного специалиста. </w:t>
      </w:r>
    </w:p>
    <w:p w:rsidR="000C50BE" w:rsidRDefault="000C50BE">
      <w:pPr>
        <w:tabs>
          <w:tab w:val="left" w:pos="709"/>
          <w:tab w:val="left" w:pos="851"/>
        </w:tabs>
        <w:spacing w:after="0" w:line="240" w:lineRule="auto"/>
        <w:ind w:firstLine="709"/>
        <w:jc w:val="both"/>
        <w:rPr>
          <w:rFonts w:ascii="Times New Roman" w:hAnsi="Times New Roman"/>
          <w:sz w:val="24"/>
          <w:szCs w:val="24"/>
        </w:rPr>
      </w:pPr>
    </w:p>
    <w:p w:rsidR="000C50BE" w:rsidRDefault="000C50BE">
      <w:pPr>
        <w:spacing w:after="0" w:line="240" w:lineRule="auto"/>
        <w:jc w:val="both"/>
        <w:rPr>
          <w:rFonts w:ascii="Times New Roman" w:hAnsi="Times New Roman"/>
          <w:i/>
          <w:sz w:val="24"/>
          <w:szCs w:val="24"/>
        </w:rPr>
      </w:pPr>
    </w:p>
    <w:sectPr w:rsidR="000C50BE">
      <w:pgSz w:w="11906" w:h="16838"/>
      <w:pgMar w:top="1134" w:right="851" w:bottom="1134" w:left="1701" w:header="0" w:footer="0"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6F1" w:rsidRDefault="009736F1">
      <w:pPr>
        <w:spacing w:after="0" w:line="240" w:lineRule="auto"/>
      </w:pPr>
      <w:r>
        <w:separator/>
      </w:r>
    </w:p>
  </w:endnote>
  <w:endnote w:type="continuationSeparator" w:id="0">
    <w:p w:rsidR="009736F1" w:rsidRDefault="00973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oor Richard">
    <w:panose1 w:val="02080502050505020702"/>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DejaVu Sans">
    <w:altName w:val="Verdana"/>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betan Machine Uni">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6F1" w:rsidRDefault="009736F1">
      <w:pPr>
        <w:spacing w:after="0" w:line="240" w:lineRule="auto"/>
      </w:pPr>
      <w:r>
        <w:separator/>
      </w:r>
    </w:p>
  </w:footnote>
  <w:footnote w:type="continuationSeparator" w:id="0">
    <w:p w:rsidR="009736F1" w:rsidRDefault="00973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B2A66"/>
    <w:multiLevelType w:val="hybridMultilevel"/>
    <w:tmpl w:val="A552AF16"/>
    <w:lvl w:ilvl="0" w:tplc="929ABEBC">
      <w:start w:val="1"/>
      <w:numFmt w:val="bullet"/>
      <w:lvlText w:val="·"/>
      <w:lvlJc w:val="left"/>
      <w:pPr>
        <w:ind w:left="720" w:hanging="360"/>
      </w:pPr>
      <w:rPr>
        <w:rFonts w:ascii="Symbol" w:eastAsia="Symbol" w:hAnsi="Symbol" w:cs="Symbol" w:hint="default"/>
      </w:rPr>
    </w:lvl>
    <w:lvl w:ilvl="1" w:tplc="B30C4258">
      <w:start w:val="1"/>
      <w:numFmt w:val="bullet"/>
      <w:lvlText w:val="o"/>
      <w:lvlJc w:val="left"/>
      <w:pPr>
        <w:ind w:left="1440" w:hanging="360"/>
      </w:pPr>
      <w:rPr>
        <w:rFonts w:ascii="Courier New" w:eastAsia="Courier New" w:hAnsi="Courier New" w:cs="Courier New" w:hint="default"/>
      </w:rPr>
    </w:lvl>
    <w:lvl w:ilvl="2" w:tplc="B260B912">
      <w:start w:val="1"/>
      <w:numFmt w:val="bullet"/>
      <w:lvlText w:val="§"/>
      <w:lvlJc w:val="left"/>
      <w:pPr>
        <w:ind w:left="2160" w:hanging="360"/>
      </w:pPr>
      <w:rPr>
        <w:rFonts w:ascii="Wingdings" w:eastAsia="Wingdings" w:hAnsi="Wingdings" w:cs="Wingdings" w:hint="default"/>
      </w:rPr>
    </w:lvl>
    <w:lvl w:ilvl="3" w:tplc="6818F9FC">
      <w:start w:val="1"/>
      <w:numFmt w:val="bullet"/>
      <w:lvlText w:val="·"/>
      <w:lvlJc w:val="left"/>
      <w:pPr>
        <w:ind w:left="2880" w:hanging="360"/>
      </w:pPr>
      <w:rPr>
        <w:rFonts w:ascii="Symbol" w:eastAsia="Symbol" w:hAnsi="Symbol" w:cs="Symbol" w:hint="default"/>
      </w:rPr>
    </w:lvl>
    <w:lvl w:ilvl="4" w:tplc="F68E61B4">
      <w:start w:val="1"/>
      <w:numFmt w:val="bullet"/>
      <w:lvlText w:val="o"/>
      <w:lvlJc w:val="left"/>
      <w:pPr>
        <w:ind w:left="3600" w:hanging="360"/>
      </w:pPr>
      <w:rPr>
        <w:rFonts w:ascii="Courier New" w:eastAsia="Courier New" w:hAnsi="Courier New" w:cs="Courier New" w:hint="default"/>
      </w:rPr>
    </w:lvl>
    <w:lvl w:ilvl="5" w:tplc="BDB2DD4A">
      <w:start w:val="1"/>
      <w:numFmt w:val="bullet"/>
      <w:lvlText w:val="§"/>
      <w:lvlJc w:val="left"/>
      <w:pPr>
        <w:ind w:left="4320" w:hanging="360"/>
      </w:pPr>
      <w:rPr>
        <w:rFonts w:ascii="Wingdings" w:eastAsia="Wingdings" w:hAnsi="Wingdings" w:cs="Wingdings" w:hint="default"/>
      </w:rPr>
    </w:lvl>
    <w:lvl w:ilvl="6" w:tplc="F872EAAA">
      <w:start w:val="1"/>
      <w:numFmt w:val="bullet"/>
      <w:lvlText w:val="·"/>
      <w:lvlJc w:val="left"/>
      <w:pPr>
        <w:ind w:left="5040" w:hanging="360"/>
      </w:pPr>
      <w:rPr>
        <w:rFonts w:ascii="Symbol" w:eastAsia="Symbol" w:hAnsi="Symbol" w:cs="Symbol" w:hint="default"/>
      </w:rPr>
    </w:lvl>
    <w:lvl w:ilvl="7" w:tplc="068C82A2">
      <w:start w:val="1"/>
      <w:numFmt w:val="bullet"/>
      <w:lvlText w:val="o"/>
      <w:lvlJc w:val="left"/>
      <w:pPr>
        <w:ind w:left="5760" w:hanging="360"/>
      </w:pPr>
      <w:rPr>
        <w:rFonts w:ascii="Courier New" w:eastAsia="Courier New" w:hAnsi="Courier New" w:cs="Courier New" w:hint="default"/>
      </w:rPr>
    </w:lvl>
    <w:lvl w:ilvl="8" w:tplc="187EE4E4">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10832C57"/>
    <w:multiLevelType w:val="hybridMultilevel"/>
    <w:tmpl w:val="86502308"/>
    <w:lvl w:ilvl="0" w:tplc="6DE8DFA0">
      <w:start w:val="1"/>
      <w:numFmt w:val="bullet"/>
      <w:lvlText w:val="–"/>
      <w:lvlJc w:val="left"/>
      <w:pPr>
        <w:ind w:left="709" w:hanging="360"/>
      </w:pPr>
      <w:rPr>
        <w:rFonts w:ascii="Arial" w:eastAsia="Arial" w:hAnsi="Arial" w:cs="Arial" w:hint="default"/>
      </w:rPr>
    </w:lvl>
    <w:lvl w:ilvl="1" w:tplc="AFC25442">
      <w:start w:val="1"/>
      <w:numFmt w:val="bullet"/>
      <w:lvlText w:val="o"/>
      <w:lvlJc w:val="left"/>
      <w:pPr>
        <w:ind w:left="1429" w:hanging="360"/>
      </w:pPr>
      <w:rPr>
        <w:rFonts w:ascii="Courier New" w:eastAsia="Courier New" w:hAnsi="Courier New" w:cs="Courier New" w:hint="default"/>
      </w:rPr>
    </w:lvl>
    <w:lvl w:ilvl="2" w:tplc="E3B6475A">
      <w:start w:val="1"/>
      <w:numFmt w:val="bullet"/>
      <w:lvlText w:val="§"/>
      <w:lvlJc w:val="left"/>
      <w:pPr>
        <w:ind w:left="2149" w:hanging="360"/>
      </w:pPr>
      <w:rPr>
        <w:rFonts w:ascii="Wingdings" w:eastAsia="Wingdings" w:hAnsi="Wingdings" w:cs="Wingdings" w:hint="default"/>
      </w:rPr>
    </w:lvl>
    <w:lvl w:ilvl="3" w:tplc="CE447AE4">
      <w:start w:val="1"/>
      <w:numFmt w:val="bullet"/>
      <w:lvlText w:val="·"/>
      <w:lvlJc w:val="left"/>
      <w:pPr>
        <w:ind w:left="2869" w:hanging="360"/>
      </w:pPr>
      <w:rPr>
        <w:rFonts w:ascii="Symbol" w:eastAsia="Symbol" w:hAnsi="Symbol" w:cs="Symbol" w:hint="default"/>
      </w:rPr>
    </w:lvl>
    <w:lvl w:ilvl="4" w:tplc="1018BE10">
      <w:start w:val="1"/>
      <w:numFmt w:val="bullet"/>
      <w:lvlText w:val="o"/>
      <w:lvlJc w:val="left"/>
      <w:pPr>
        <w:ind w:left="3589" w:hanging="360"/>
      </w:pPr>
      <w:rPr>
        <w:rFonts w:ascii="Courier New" w:eastAsia="Courier New" w:hAnsi="Courier New" w:cs="Courier New" w:hint="default"/>
      </w:rPr>
    </w:lvl>
    <w:lvl w:ilvl="5" w:tplc="E82A5B4A">
      <w:start w:val="1"/>
      <w:numFmt w:val="bullet"/>
      <w:lvlText w:val="§"/>
      <w:lvlJc w:val="left"/>
      <w:pPr>
        <w:ind w:left="4309" w:hanging="360"/>
      </w:pPr>
      <w:rPr>
        <w:rFonts w:ascii="Wingdings" w:eastAsia="Wingdings" w:hAnsi="Wingdings" w:cs="Wingdings" w:hint="default"/>
      </w:rPr>
    </w:lvl>
    <w:lvl w:ilvl="6" w:tplc="7CFC4914">
      <w:start w:val="1"/>
      <w:numFmt w:val="bullet"/>
      <w:lvlText w:val="·"/>
      <w:lvlJc w:val="left"/>
      <w:pPr>
        <w:ind w:left="5029" w:hanging="360"/>
      </w:pPr>
      <w:rPr>
        <w:rFonts w:ascii="Symbol" w:eastAsia="Symbol" w:hAnsi="Symbol" w:cs="Symbol" w:hint="default"/>
      </w:rPr>
    </w:lvl>
    <w:lvl w:ilvl="7" w:tplc="E01647A4">
      <w:start w:val="1"/>
      <w:numFmt w:val="bullet"/>
      <w:lvlText w:val="o"/>
      <w:lvlJc w:val="left"/>
      <w:pPr>
        <w:ind w:left="5749" w:hanging="360"/>
      </w:pPr>
      <w:rPr>
        <w:rFonts w:ascii="Courier New" w:eastAsia="Courier New" w:hAnsi="Courier New" w:cs="Courier New" w:hint="default"/>
      </w:rPr>
    </w:lvl>
    <w:lvl w:ilvl="8" w:tplc="DF520EA2">
      <w:start w:val="1"/>
      <w:numFmt w:val="bullet"/>
      <w:lvlText w:val="§"/>
      <w:lvlJc w:val="left"/>
      <w:pPr>
        <w:ind w:left="6469" w:hanging="360"/>
      </w:pPr>
      <w:rPr>
        <w:rFonts w:ascii="Wingdings" w:eastAsia="Wingdings" w:hAnsi="Wingdings" w:cs="Wingdings" w:hint="default"/>
      </w:rPr>
    </w:lvl>
  </w:abstractNum>
  <w:abstractNum w:abstractNumId="2" w15:restartNumberingAfterBreak="0">
    <w:nsid w:val="11DC5584"/>
    <w:multiLevelType w:val="hybridMultilevel"/>
    <w:tmpl w:val="FB661030"/>
    <w:lvl w:ilvl="0" w:tplc="6DC20652">
      <w:start w:val="1"/>
      <w:numFmt w:val="bullet"/>
      <w:lvlText w:val="–"/>
      <w:lvlJc w:val="left"/>
      <w:pPr>
        <w:tabs>
          <w:tab w:val="num" w:pos="0"/>
        </w:tabs>
        <w:ind w:left="1428" w:hanging="360"/>
      </w:pPr>
      <w:rPr>
        <w:rFonts w:ascii="Poor Richard" w:hAnsi="Poor Richard" w:cs="Poor Richard" w:hint="default"/>
      </w:rPr>
    </w:lvl>
    <w:lvl w:ilvl="1" w:tplc="CAF23A3E">
      <w:start w:val="1"/>
      <w:numFmt w:val="bullet"/>
      <w:lvlText w:val="o"/>
      <w:lvlJc w:val="left"/>
      <w:pPr>
        <w:ind w:left="1440" w:hanging="360"/>
      </w:pPr>
      <w:rPr>
        <w:rFonts w:ascii="Courier New" w:eastAsia="Courier New" w:hAnsi="Courier New" w:cs="Courier New" w:hint="default"/>
      </w:rPr>
    </w:lvl>
    <w:lvl w:ilvl="2" w:tplc="A712FE22">
      <w:start w:val="1"/>
      <w:numFmt w:val="bullet"/>
      <w:lvlText w:val="§"/>
      <w:lvlJc w:val="left"/>
      <w:pPr>
        <w:ind w:left="2160" w:hanging="360"/>
      </w:pPr>
      <w:rPr>
        <w:rFonts w:ascii="Wingdings" w:eastAsia="Wingdings" w:hAnsi="Wingdings" w:cs="Wingdings" w:hint="default"/>
      </w:rPr>
    </w:lvl>
    <w:lvl w:ilvl="3" w:tplc="00D07F0C">
      <w:start w:val="1"/>
      <w:numFmt w:val="bullet"/>
      <w:lvlText w:val="·"/>
      <w:lvlJc w:val="left"/>
      <w:pPr>
        <w:ind w:left="2880" w:hanging="360"/>
      </w:pPr>
      <w:rPr>
        <w:rFonts w:ascii="Symbol" w:eastAsia="Symbol" w:hAnsi="Symbol" w:cs="Symbol" w:hint="default"/>
      </w:rPr>
    </w:lvl>
    <w:lvl w:ilvl="4" w:tplc="87067022">
      <w:start w:val="1"/>
      <w:numFmt w:val="bullet"/>
      <w:lvlText w:val="o"/>
      <w:lvlJc w:val="left"/>
      <w:pPr>
        <w:ind w:left="3600" w:hanging="360"/>
      </w:pPr>
      <w:rPr>
        <w:rFonts w:ascii="Courier New" w:eastAsia="Courier New" w:hAnsi="Courier New" w:cs="Courier New" w:hint="default"/>
      </w:rPr>
    </w:lvl>
    <w:lvl w:ilvl="5" w:tplc="6BD2D9D0">
      <w:start w:val="1"/>
      <w:numFmt w:val="bullet"/>
      <w:lvlText w:val="§"/>
      <w:lvlJc w:val="left"/>
      <w:pPr>
        <w:ind w:left="4320" w:hanging="360"/>
      </w:pPr>
      <w:rPr>
        <w:rFonts w:ascii="Wingdings" w:eastAsia="Wingdings" w:hAnsi="Wingdings" w:cs="Wingdings" w:hint="default"/>
      </w:rPr>
    </w:lvl>
    <w:lvl w:ilvl="6" w:tplc="8800CBE4">
      <w:start w:val="1"/>
      <w:numFmt w:val="bullet"/>
      <w:lvlText w:val="·"/>
      <w:lvlJc w:val="left"/>
      <w:pPr>
        <w:ind w:left="5040" w:hanging="360"/>
      </w:pPr>
      <w:rPr>
        <w:rFonts w:ascii="Symbol" w:eastAsia="Symbol" w:hAnsi="Symbol" w:cs="Symbol" w:hint="default"/>
      </w:rPr>
    </w:lvl>
    <w:lvl w:ilvl="7" w:tplc="891C886C">
      <w:start w:val="1"/>
      <w:numFmt w:val="bullet"/>
      <w:lvlText w:val="o"/>
      <w:lvlJc w:val="left"/>
      <w:pPr>
        <w:ind w:left="5760" w:hanging="360"/>
      </w:pPr>
      <w:rPr>
        <w:rFonts w:ascii="Courier New" w:eastAsia="Courier New" w:hAnsi="Courier New" w:cs="Courier New" w:hint="default"/>
      </w:rPr>
    </w:lvl>
    <w:lvl w:ilvl="8" w:tplc="22AEB6EC">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2A9E2755"/>
    <w:multiLevelType w:val="hybridMultilevel"/>
    <w:tmpl w:val="3432E9AA"/>
    <w:lvl w:ilvl="0" w:tplc="A3C2C7E6">
      <w:start w:val="1"/>
      <w:numFmt w:val="bullet"/>
      <w:lvlText w:val="·"/>
      <w:lvlJc w:val="left"/>
      <w:pPr>
        <w:ind w:left="709" w:hanging="360"/>
      </w:pPr>
      <w:rPr>
        <w:rFonts w:ascii="Symbol" w:eastAsia="Symbol" w:hAnsi="Symbol" w:cs="Symbol" w:hint="default"/>
      </w:rPr>
    </w:lvl>
    <w:lvl w:ilvl="1" w:tplc="4800744C">
      <w:start w:val="1"/>
      <w:numFmt w:val="bullet"/>
      <w:lvlText w:val="·"/>
      <w:lvlJc w:val="left"/>
      <w:pPr>
        <w:ind w:left="1429" w:hanging="360"/>
      </w:pPr>
      <w:rPr>
        <w:rFonts w:ascii="Symbol" w:eastAsia="Symbol" w:hAnsi="Symbol" w:cs="Symbol" w:hint="default"/>
      </w:rPr>
    </w:lvl>
    <w:lvl w:ilvl="2" w:tplc="E65E6BAA">
      <w:start w:val="1"/>
      <w:numFmt w:val="bullet"/>
      <w:lvlText w:val="·"/>
      <w:lvlJc w:val="left"/>
      <w:pPr>
        <w:ind w:left="2149" w:hanging="360"/>
      </w:pPr>
      <w:rPr>
        <w:rFonts w:ascii="Symbol" w:eastAsia="Symbol" w:hAnsi="Symbol" w:cs="Symbol" w:hint="default"/>
      </w:rPr>
    </w:lvl>
    <w:lvl w:ilvl="3" w:tplc="BFBACA36">
      <w:start w:val="1"/>
      <w:numFmt w:val="bullet"/>
      <w:lvlText w:val="·"/>
      <w:lvlJc w:val="left"/>
      <w:pPr>
        <w:ind w:left="2869" w:hanging="360"/>
      </w:pPr>
      <w:rPr>
        <w:rFonts w:ascii="Symbol" w:eastAsia="Symbol" w:hAnsi="Symbol" w:cs="Symbol" w:hint="default"/>
      </w:rPr>
    </w:lvl>
    <w:lvl w:ilvl="4" w:tplc="306E78B2">
      <w:start w:val="1"/>
      <w:numFmt w:val="bullet"/>
      <w:lvlText w:val="·"/>
      <w:lvlJc w:val="left"/>
      <w:pPr>
        <w:ind w:left="3589" w:hanging="360"/>
      </w:pPr>
      <w:rPr>
        <w:rFonts w:ascii="Symbol" w:eastAsia="Symbol" w:hAnsi="Symbol" w:cs="Symbol" w:hint="default"/>
      </w:rPr>
    </w:lvl>
    <w:lvl w:ilvl="5" w:tplc="ABF2FE3A">
      <w:start w:val="1"/>
      <w:numFmt w:val="bullet"/>
      <w:lvlText w:val="·"/>
      <w:lvlJc w:val="left"/>
      <w:pPr>
        <w:ind w:left="4309" w:hanging="360"/>
      </w:pPr>
      <w:rPr>
        <w:rFonts w:ascii="Symbol" w:eastAsia="Symbol" w:hAnsi="Symbol" w:cs="Symbol" w:hint="default"/>
      </w:rPr>
    </w:lvl>
    <w:lvl w:ilvl="6" w:tplc="AF3C3D3E">
      <w:start w:val="1"/>
      <w:numFmt w:val="bullet"/>
      <w:lvlText w:val="·"/>
      <w:lvlJc w:val="left"/>
      <w:pPr>
        <w:ind w:left="5029" w:hanging="360"/>
      </w:pPr>
      <w:rPr>
        <w:rFonts w:ascii="Symbol" w:eastAsia="Symbol" w:hAnsi="Symbol" w:cs="Symbol" w:hint="default"/>
      </w:rPr>
    </w:lvl>
    <w:lvl w:ilvl="7" w:tplc="E95C1B96">
      <w:start w:val="1"/>
      <w:numFmt w:val="bullet"/>
      <w:lvlText w:val="·"/>
      <w:lvlJc w:val="left"/>
      <w:pPr>
        <w:ind w:left="5749" w:hanging="360"/>
      </w:pPr>
      <w:rPr>
        <w:rFonts w:ascii="Symbol" w:eastAsia="Symbol" w:hAnsi="Symbol" w:cs="Symbol" w:hint="default"/>
      </w:rPr>
    </w:lvl>
    <w:lvl w:ilvl="8" w:tplc="B0AAE058">
      <w:start w:val="1"/>
      <w:numFmt w:val="bullet"/>
      <w:lvlText w:val="·"/>
      <w:lvlJc w:val="left"/>
      <w:pPr>
        <w:ind w:left="6469" w:hanging="360"/>
      </w:pPr>
      <w:rPr>
        <w:rFonts w:ascii="Symbol" w:eastAsia="Symbol" w:hAnsi="Symbol" w:cs="Symbol" w:hint="default"/>
      </w:rPr>
    </w:lvl>
  </w:abstractNum>
  <w:abstractNum w:abstractNumId="4" w15:restartNumberingAfterBreak="0">
    <w:nsid w:val="688B6FA4"/>
    <w:multiLevelType w:val="hybridMultilevel"/>
    <w:tmpl w:val="63064FF2"/>
    <w:lvl w:ilvl="0" w:tplc="66625132">
      <w:start w:val="1"/>
      <w:numFmt w:val="bullet"/>
      <w:lvlText w:val="·"/>
      <w:lvlJc w:val="left"/>
      <w:pPr>
        <w:ind w:left="720" w:hanging="360"/>
      </w:pPr>
      <w:rPr>
        <w:rFonts w:ascii="Symbol" w:eastAsia="Symbol" w:hAnsi="Symbol" w:cs="Symbol" w:hint="default"/>
      </w:rPr>
    </w:lvl>
    <w:lvl w:ilvl="1" w:tplc="4008F0B6">
      <w:start w:val="1"/>
      <w:numFmt w:val="bullet"/>
      <w:lvlText w:val="o"/>
      <w:lvlJc w:val="left"/>
      <w:pPr>
        <w:ind w:left="1440" w:hanging="360"/>
      </w:pPr>
      <w:rPr>
        <w:rFonts w:ascii="Courier New" w:eastAsia="Courier New" w:hAnsi="Courier New" w:cs="Courier New" w:hint="default"/>
      </w:rPr>
    </w:lvl>
    <w:lvl w:ilvl="2" w:tplc="2B34B8A2">
      <w:start w:val="1"/>
      <w:numFmt w:val="bullet"/>
      <w:lvlText w:val="§"/>
      <w:lvlJc w:val="left"/>
      <w:pPr>
        <w:ind w:left="2160" w:hanging="360"/>
      </w:pPr>
      <w:rPr>
        <w:rFonts w:ascii="Wingdings" w:eastAsia="Wingdings" w:hAnsi="Wingdings" w:cs="Wingdings" w:hint="default"/>
      </w:rPr>
    </w:lvl>
    <w:lvl w:ilvl="3" w:tplc="A9C466E8">
      <w:start w:val="1"/>
      <w:numFmt w:val="bullet"/>
      <w:lvlText w:val="·"/>
      <w:lvlJc w:val="left"/>
      <w:pPr>
        <w:ind w:left="2880" w:hanging="360"/>
      </w:pPr>
      <w:rPr>
        <w:rFonts w:ascii="Symbol" w:eastAsia="Symbol" w:hAnsi="Symbol" w:cs="Symbol" w:hint="default"/>
      </w:rPr>
    </w:lvl>
    <w:lvl w:ilvl="4" w:tplc="4CA02D68">
      <w:start w:val="1"/>
      <w:numFmt w:val="bullet"/>
      <w:lvlText w:val="o"/>
      <w:lvlJc w:val="left"/>
      <w:pPr>
        <w:ind w:left="3600" w:hanging="360"/>
      </w:pPr>
      <w:rPr>
        <w:rFonts w:ascii="Courier New" w:eastAsia="Courier New" w:hAnsi="Courier New" w:cs="Courier New" w:hint="default"/>
      </w:rPr>
    </w:lvl>
    <w:lvl w:ilvl="5" w:tplc="5D16803C">
      <w:start w:val="1"/>
      <w:numFmt w:val="bullet"/>
      <w:lvlText w:val="§"/>
      <w:lvlJc w:val="left"/>
      <w:pPr>
        <w:ind w:left="4320" w:hanging="360"/>
      </w:pPr>
      <w:rPr>
        <w:rFonts w:ascii="Wingdings" w:eastAsia="Wingdings" w:hAnsi="Wingdings" w:cs="Wingdings" w:hint="default"/>
      </w:rPr>
    </w:lvl>
    <w:lvl w:ilvl="6" w:tplc="126AF096">
      <w:start w:val="1"/>
      <w:numFmt w:val="bullet"/>
      <w:lvlText w:val="·"/>
      <w:lvlJc w:val="left"/>
      <w:pPr>
        <w:ind w:left="5040" w:hanging="360"/>
      </w:pPr>
      <w:rPr>
        <w:rFonts w:ascii="Symbol" w:eastAsia="Symbol" w:hAnsi="Symbol" w:cs="Symbol" w:hint="default"/>
      </w:rPr>
    </w:lvl>
    <w:lvl w:ilvl="7" w:tplc="383A8A86">
      <w:start w:val="1"/>
      <w:numFmt w:val="bullet"/>
      <w:lvlText w:val="o"/>
      <w:lvlJc w:val="left"/>
      <w:pPr>
        <w:ind w:left="5760" w:hanging="360"/>
      </w:pPr>
      <w:rPr>
        <w:rFonts w:ascii="Courier New" w:eastAsia="Courier New" w:hAnsi="Courier New" w:cs="Courier New" w:hint="default"/>
      </w:rPr>
    </w:lvl>
    <w:lvl w:ilvl="8" w:tplc="9744AFAE">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7699214A"/>
    <w:multiLevelType w:val="hybridMultilevel"/>
    <w:tmpl w:val="A988786C"/>
    <w:lvl w:ilvl="0" w:tplc="61E287FE">
      <w:start w:val="1"/>
      <w:numFmt w:val="none"/>
      <w:suff w:val="nothing"/>
      <w:lvlText w:val=""/>
      <w:lvlJc w:val="left"/>
      <w:pPr>
        <w:tabs>
          <w:tab w:val="num" w:pos="0"/>
        </w:tabs>
        <w:ind w:left="0" w:firstLine="0"/>
      </w:pPr>
    </w:lvl>
    <w:lvl w:ilvl="1" w:tplc="B6AEB826">
      <w:start w:val="1"/>
      <w:numFmt w:val="none"/>
      <w:suff w:val="nothing"/>
      <w:lvlText w:val=""/>
      <w:lvlJc w:val="left"/>
      <w:pPr>
        <w:tabs>
          <w:tab w:val="num" w:pos="0"/>
        </w:tabs>
        <w:ind w:left="0" w:firstLine="0"/>
      </w:pPr>
    </w:lvl>
    <w:lvl w:ilvl="2" w:tplc="11764DC8">
      <w:start w:val="1"/>
      <w:numFmt w:val="none"/>
      <w:suff w:val="nothing"/>
      <w:lvlText w:val=""/>
      <w:lvlJc w:val="left"/>
      <w:pPr>
        <w:tabs>
          <w:tab w:val="num" w:pos="0"/>
        </w:tabs>
        <w:ind w:left="0" w:firstLine="0"/>
      </w:pPr>
    </w:lvl>
    <w:lvl w:ilvl="3" w:tplc="55F4F2CC">
      <w:start w:val="1"/>
      <w:numFmt w:val="none"/>
      <w:suff w:val="nothing"/>
      <w:lvlText w:val=""/>
      <w:lvlJc w:val="left"/>
      <w:pPr>
        <w:tabs>
          <w:tab w:val="num" w:pos="0"/>
        </w:tabs>
        <w:ind w:left="0" w:firstLine="0"/>
      </w:pPr>
    </w:lvl>
    <w:lvl w:ilvl="4" w:tplc="413641B6">
      <w:start w:val="1"/>
      <w:numFmt w:val="none"/>
      <w:suff w:val="nothing"/>
      <w:lvlText w:val=""/>
      <w:lvlJc w:val="left"/>
      <w:pPr>
        <w:tabs>
          <w:tab w:val="num" w:pos="0"/>
        </w:tabs>
        <w:ind w:left="0" w:firstLine="0"/>
      </w:pPr>
    </w:lvl>
    <w:lvl w:ilvl="5" w:tplc="427CFCE4">
      <w:start w:val="1"/>
      <w:numFmt w:val="none"/>
      <w:suff w:val="nothing"/>
      <w:lvlText w:val=""/>
      <w:lvlJc w:val="left"/>
      <w:pPr>
        <w:tabs>
          <w:tab w:val="num" w:pos="0"/>
        </w:tabs>
        <w:ind w:left="0" w:firstLine="0"/>
      </w:pPr>
    </w:lvl>
    <w:lvl w:ilvl="6" w:tplc="4EDCDECA">
      <w:start w:val="1"/>
      <w:numFmt w:val="none"/>
      <w:suff w:val="nothing"/>
      <w:lvlText w:val=""/>
      <w:lvlJc w:val="left"/>
      <w:pPr>
        <w:tabs>
          <w:tab w:val="num" w:pos="0"/>
        </w:tabs>
        <w:ind w:left="0" w:firstLine="0"/>
      </w:pPr>
    </w:lvl>
    <w:lvl w:ilvl="7" w:tplc="9BD236B6">
      <w:start w:val="1"/>
      <w:numFmt w:val="none"/>
      <w:suff w:val="nothing"/>
      <w:lvlText w:val=""/>
      <w:lvlJc w:val="left"/>
      <w:pPr>
        <w:tabs>
          <w:tab w:val="num" w:pos="0"/>
        </w:tabs>
        <w:ind w:left="0" w:firstLine="0"/>
      </w:pPr>
    </w:lvl>
    <w:lvl w:ilvl="8" w:tplc="6DB41D6E">
      <w:start w:val="1"/>
      <w:numFmt w:val="none"/>
      <w:suff w:val="nothing"/>
      <w:lvlText w:val=""/>
      <w:lvlJc w:val="left"/>
      <w:pPr>
        <w:tabs>
          <w:tab w:val="num" w:pos="0"/>
        </w:tabs>
        <w:ind w:left="0" w:firstLine="0"/>
      </w:p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0BE"/>
    <w:rsid w:val="000C50BE"/>
    <w:rsid w:val="00365609"/>
    <w:rsid w:val="003D201F"/>
    <w:rsid w:val="00655046"/>
    <w:rsid w:val="00973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549BD6-23D5-41F7-B369-6268C5943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Calibri" w:hAnsi="Calibri" w:cs="Times New Roman"/>
      <w:sz w:val="22"/>
      <w:szCs w:val="22"/>
      <w:lang w:val="ru-RU" w:bidi="ar-SA"/>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qFormat/>
    <w:pPr>
      <w:spacing w:after="0" w:line="240" w:lineRule="auto"/>
      <w:ind w:left="720"/>
      <w:contextualSpacing/>
    </w:pPr>
    <w:rPr>
      <w:rFonts w:ascii="Times New Roman" w:eastAsia="Times New Roman" w:hAnsi="Times New Roman"/>
      <w:sz w:val="24"/>
      <w:szCs w:val="24"/>
    </w:rPr>
  </w:style>
  <w:style w:type="paragraph" w:styleId="a4">
    <w:name w:val="No Spacing"/>
    <w:uiPriority w:val="1"/>
    <w:qFormat/>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uiPriority w:val="99"/>
  </w:style>
  <w:style w:type="character" w:customStyle="1" w:styleId="ae">
    <w:name w:val="Нижний колонтитул Знак"/>
    <w:link w:val="ad"/>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Pr>
      <w:color w:val="0000FF"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WW8Num1z0">
    <w:name w:val="WW8Num1z0"/>
    <w:qFormat/>
    <w:rPr>
      <w:rFonts w:ascii="Symbol" w:hAnsi="Symbol" w:cs="Symbol"/>
    </w:rPr>
  </w:style>
  <w:style w:type="character" w:customStyle="1" w:styleId="WW8Num1z1">
    <w:name w:val="WW8Num1z1"/>
    <w:qFormat/>
    <w:rPr>
      <w:rFonts w:ascii="Wingdings" w:hAnsi="Wingdings" w:cs="Wingdings"/>
    </w:rPr>
  </w:style>
  <w:style w:type="character" w:customStyle="1" w:styleId="WW8Num2z0">
    <w:name w:val="WW8Num2z0"/>
    <w:qFormat/>
    <w:rPr>
      <w:rFonts w:ascii="Poor Richard" w:hAnsi="Poor Richard" w:cs="Poor Richard"/>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ConsPlusNormal">
    <w:name w:val="ConsPlusNormal Знак"/>
    <w:qFormat/>
    <w:rPr>
      <w:rFonts w:ascii="Times New Roman" w:eastAsia="Times New Roman" w:hAnsi="Times New Roman" w:cs="Times New Roman"/>
      <w:sz w:val="28"/>
      <w:szCs w:val="20"/>
    </w:rPr>
  </w:style>
  <w:style w:type="character" w:customStyle="1" w:styleId="af9">
    <w:name w:val="Текст выноски Знак"/>
    <w:qFormat/>
    <w:rPr>
      <w:rFonts w:ascii="Segoe UI" w:hAnsi="Segoe UI" w:cs="Segoe UI"/>
      <w:sz w:val="18"/>
      <w:szCs w:val="18"/>
    </w:rPr>
  </w:style>
  <w:style w:type="paragraph" w:customStyle="1" w:styleId="Heading">
    <w:name w:val="Heading"/>
    <w:basedOn w:val="a"/>
    <w:next w:val="afa"/>
    <w:qFormat/>
    <w:pPr>
      <w:keepNext/>
      <w:spacing w:before="240" w:after="120"/>
    </w:pPr>
    <w:rPr>
      <w:rFonts w:ascii="Arial" w:eastAsia="DejaVu Sans" w:hAnsi="Arial" w:cs="DejaVu Sans"/>
      <w:sz w:val="28"/>
      <w:szCs w:val="28"/>
    </w:rPr>
  </w:style>
  <w:style w:type="paragraph" w:styleId="afa">
    <w:name w:val="Body Text"/>
    <w:basedOn w:val="a"/>
    <w:pPr>
      <w:spacing w:after="140"/>
    </w:pPr>
  </w:style>
  <w:style w:type="paragraph" w:styleId="afb">
    <w:name w:val="List"/>
    <w:basedOn w:val="afa"/>
  </w:style>
  <w:style w:type="paragraph" w:styleId="afc">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customStyle="1" w:styleId="ConsPlusNormal0">
    <w:name w:val="ConsPlusNormal"/>
    <w:qFormat/>
    <w:pPr>
      <w:widowControl w:val="0"/>
    </w:pPr>
    <w:rPr>
      <w:rFonts w:eastAsia="Times New Roman" w:cs="Times New Roman"/>
      <w:sz w:val="28"/>
      <w:szCs w:val="20"/>
      <w:lang w:val="ru-RU" w:bidi="ar-SA"/>
    </w:rPr>
  </w:style>
  <w:style w:type="paragraph" w:styleId="afd">
    <w:name w:val="Normal (Web)"/>
    <w:basedOn w:val="a"/>
    <w:qFormat/>
    <w:pPr>
      <w:spacing w:before="280" w:after="280" w:line="240" w:lineRule="auto"/>
    </w:pPr>
    <w:rPr>
      <w:rFonts w:ascii="Times New Roman" w:eastAsia="Times New Roman" w:hAnsi="Times New Roman"/>
      <w:sz w:val="24"/>
      <w:szCs w:val="24"/>
    </w:rPr>
  </w:style>
  <w:style w:type="paragraph" w:styleId="afe">
    <w:name w:val="Balloon Text"/>
    <w:basedOn w:val="a"/>
    <w:qFormat/>
    <w:pPr>
      <w:spacing w:after="0" w:line="240" w:lineRule="auto"/>
    </w:pPr>
    <w:rPr>
      <w:rFonts w:ascii="Segoe UI" w:hAnsi="Segoe UI" w:cs="Segoe UI"/>
      <w:sz w:val="18"/>
      <w:szCs w:val="18"/>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A4D95-9550-4366-87BB-6BAADFBF8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7077</Words>
  <Characters>40342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Kandarakov</dc:creator>
  <cp:keywords> </cp:keywords>
  <dc:description/>
  <cp:lastModifiedBy>0215Bazai</cp:lastModifiedBy>
  <cp:revision>2</cp:revision>
  <dcterms:created xsi:type="dcterms:W3CDTF">2022-07-22T03:49:00Z</dcterms:created>
  <dcterms:modified xsi:type="dcterms:W3CDTF">2022-07-22T03:49:00Z</dcterms:modified>
  <dc:language>en-US</dc:language>
</cp:coreProperties>
</file>